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vanish w:val="1"/></w:rPr><w:t xml:space="preserve">  </w:t></w:r></w:p><w:p><w:pPr><w:jc w:val="start"/><w:spacing w:before="0" w:after="0" w:line="20" w:lineRule="exact"/></w:pPr><w:r><w:rPr/><w:t xml:space="preserve"> </w:t></w:r></w:p><w:p><w:pPr><w:jc w:val="start"/><w:spacing w:before="0" w:after="40" w:line="60" w:lineRule="exact"/></w:pPr><w:r><w:rPr/><w:t xml:space="preserve"> </w:t></w:r></w:p><w:p><w:pPr><w:jc w:val="center"/><w:spacing w:before="80" w:after="0"/></w:pPr><w:r><w:rPr><w:rFonts w:ascii="Times New Roman" w:hAnsi="Times New Roman" w:eastAsia="Times New Roman" w:cs="Times New Roman"/><w:sz w:val="36"/><w:szCs w:val="36"/><w:b w:val="1"/><w:bCs w:val="1"/></w:rPr><w:t xml:space="preserve">UNITED STATES</w:t></w:r></w:p><w:p><w:pPr><w:jc w:val="center"/><w:spacing w:before="0" w:after="0"/></w:pPr><w:r><w:rPr><w:rFonts w:ascii="Times New Roman" w:hAnsi="Times New Roman" w:eastAsia="Times New Roman" w:cs="Times New Roman"/><w:sz w:val="36"/><w:szCs w:val="36"/><w:b w:val="1"/><w:bCs w:val="1"/></w:rPr><w:t xml:space="preserve">SECURITIES AND EXCHANGE COMMISSION</w:t></w:r></w:p><w:p><w:pPr><w:jc w:val="center"/><w:spacing w:before="0" w:after="0"/></w:pPr><w:r><w:rPr><w:rFonts w:ascii="Times New Roman" w:hAnsi="Times New Roman" w:eastAsia="Times New Roman" w:cs="Times New Roman"/><w:sz w:val="24"/><w:szCs w:val="24"/><w:b w:val="1"/><w:bCs w:val="1"/></w:rPr><w:t xml:space="preserve">Washington, D.C. 20549</w:t></w:r></w:p><w:p><w:pPr><w:jc w:val="start"/><w:spacing w:before="0" w:after="0"/></w:pPr><w:r><w:rPr><w:sz w:val="24"/><w:szCs w:val="24"/></w:rPr><w:t xml:space="preserve"> </w:t></w:r></w:p><w:p><w:pPr><w:jc w:val="center"/><w:spacing w:before="0" w:after="40" w:line="120" w:lineRule="exact"/></w:pPr><w:r><w:rPr/><w:t xml:space="preserve"> </w:t></w:r></w:p><w:p><w:pPr><w:jc w:val="center"/><w:spacing w:before="240" w:after="0"/></w:pPr><w:r><w:rPr><w:rFonts w:ascii="Times New Roman" w:hAnsi="Times New Roman" w:eastAsia="Times New Roman" w:cs="Times New Roman"/><w:sz w:val="36"/><w:szCs w:val="36"/><w:b w:val="1"/><w:bCs w:val="1"/></w:rPr><w:t xml:space="preserve">FORM </w:t></w:r><w:r><w:rPr><w:rFonts w:ascii="Times New Roman" w:hAnsi="Times New Roman" w:eastAsia="Times New Roman" w:cs="Times New Roman"/><w:sz w:val="36"/><w:szCs w:val="36"/><w:b w:val="1"/><w:bCs w:val="1"/></w:rPr><w:t xml:space="preserve">8-K</w:t></w:r></w:p><w:p><w:pPr><w:jc w:val="start"/><w:spacing w:before="0" w:after="0"/></w:pPr><w:r><w:rPr><w:sz w:val="24"/><w:szCs w:val="24"/></w:rPr><w:t xml:space="preserve"> </w:t></w:r></w:p><w:p><w:pPr><w:jc w:val="center"/><w:spacing w:before="0" w:after="40" w:line="120" w:lineRule="exact"/></w:pPr><w:r><w:rPr/><w:t xml:space="preserve"> </w:t></w:r></w:p><w:p><w:pPr><w:jc w:val="center"/><w:spacing w:before="240" w:after="0"/></w:pPr><w:r><w:rPr><w:rFonts w:ascii="Times New Roman" w:hAnsi="Times New Roman" w:eastAsia="Times New Roman" w:cs="Times New Roman"/><w:sz w:val="24"/><w:szCs w:val="24"/><w:b w:val="1"/><w:bCs w:val="1"/></w:rPr><w:t xml:space="preserve">CURRENT REPORT</w:t></w:r></w:p><w:p><w:pPr><w:jc w:val="center"/><w:spacing w:before="0" w:after="0"/></w:pPr><w:r><w:rPr><w:rFonts w:ascii="Times New Roman" w:hAnsi="Times New Roman" w:eastAsia="Times New Roman" w:cs="Times New Roman"/><w:sz w:val="24"/><w:szCs w:val="24"/><w:b w:val="1"/><w:bCs w:val="1"/></w:rPr><w:t xml:space="preserve">Pursuant to Section 13 or 15(d)</w:t></w:r></w:p><w:p><w:pPr><w:jc w:val="center"/><w:spacing w:before="0" w:after="0"/></w:pPr><w:r><w:rPr><w:rFonts w:ascii="Times New Roman" w:hAnsi="Times New Roman" w:eastAsia="Times New Roman" w:cs="Times New Roman"/><w:sz w:val="24"/><w:szCs w:val="24"/><w:b w:val="1"/><w:bCs w:val="1"/></w:rPr><w:t xml:space="preserve">of the Securities Exchange Act of 1934</w:t></w:r></w:p><w:p><w:pPr><w:jc w:val="center"/><w:spacing w:before="240" w:after="0"/></w:pPr><w:r><w:rPr><w:rFonts w:ascii="Times New Roman" w:hAnsi="Times New Roman" w:eastAsia="Times New Roman" w:cs="Times New Roman"/><w:sz w:val="24"/><w:szCs w:val="24"/><w:b w:val="1"/><w:bCs w:val="1"/></w:rPr><w:t xml:space="preserve">Date of Report (Date of Earliest Event Reported): August 18, 2020</w:t></w:r></w:p><w:p><w:pPr><w:jc w:val="start"/><w:spacing w:before="0" w:after="0"/></w:pPr><w:r><w:rPr><w:sz w:val="24"/><w:szCs w:val="24"/></w:rPr><w:t xml:space="preserve"> </w:t></w:r></w:p><w:p><w:pPr><w:jc w:val="center"/><w:spacing w:before="0" w:after="40" w:line="120" w:lineRule="exact"/></w:pPr><w:r><w:rPr/><w:t xml:space="preserve"> </w:t></w:r></w:p><w:p><w:pPr><w:jc w:val="center"/><w:spacing w:before="240" w:after="0"/></w:pPr><w:r><w:rPr><w:rFonts w:ascii="Times New Roman" w:hAnsi="Times New Roman" w:eastAsia="Times New Roman" w:cs="Times New Roman"/><w:sz w:val="48"/><w:szCs w:val="48"/><w:b w:val="1"/><w:bCs w:val="1"/></w:rPr><w:t xml:space="preserve"> ORGANOGENESIS HOLDINGS INC. </w:t></w:r></w:p><w:p><w:pPr><w:jc w:val="center"/><w:spacing w:before="0" w:after="0"/></w:pPr><w:r><w:rPr><w:rFonts w:ascii="Times New Roman" w:hAnsi="Times New Roman" w:eastAsia="Times New Roman" w:cs="Times New Roman"/><w:sz w:val="20"/><w:szCs w:val="20"/><w:b w:val="1"/><w:bCs w:val="1"/></w:rPr><w:t xml:space="preserve">(Exact Name of Registrant as specified in its charter)</w:t></w:r></w:p><w:p><w:pPr><w:jc w:val="start"/><w:spacing w:before="0" w:after="0"/></w:pPr><w:r><w:rPr><w:sz w:val="24"/><w:szCs w:val="24"/></w:rPr><w:t xml:space="preserve"> </w:t></w:r></w:p><w:p><w:pPr><w:jc w:val="center"/><w:spacing w:before="0" w:after="40" w:line="120" w:lineRule="exact"/></w:pPr><w:r><w:rPr/><w:t xml:space="preserve"> </w:t></w:r></w:p><w:p><w:pPr><w:jc w:val="start"/><w:spacing w:before="0" w:after="0"/></w:pPr><w:r><w:rPr><w:sz w:val="24"/><w:szCs w:val="24"/></w:rPr><w:t xml:space="preserve"> </w:t></w:r></w:p><w:tbl><w:tblGrid><w:gridCol w:w="1700" w:type="dxa"/><w:gridCol w:w="5000" w:type="dxa"/><w:gridCol w:w="1600" w:type="dxa"/><w:gridCol w:w="50" w:type="dxa"/><w:gridCol w:w="1600" w:type="dxa"/></w:tblGrid><w:tblPr><w:tblW w:w="5000" w:type="pct"/><w:tblCellSpacing w:w="0" w:type="dxa"/><w:tblLayout w:type="autofit"/></w:tblPr><w:tr><w:trPr/><w:tc><w:tcPr><w:tcW w:w="1700" w:type="pct"/><w:noWrap/></w:tcPr><w:p><w:pPr/></w:p></w:tc><w:tc><w:tcPr><w:tcW w:w="5000" w:type="pct"/><w:vAlign w:val="bottom"/><w:noWrap/></w:tcPr><w:p><w:pPr/></w:p></w:tc><w:tc><w:tcPr><w:tcW w:w="1600" w:type="pct"/><w:noWrap/></w:tcPr><w:p><w:pPr/></w:p></w:tc><w:tc><w:tcPr><w:tcW w:w="50" w:type="pct"/><w:vAlign w:val="bottom"/><w:noWrap/></w:tcPr><w:p><w:pPr/></w:p></w:tc><w:tc><w:tcPr><w:tcW w:w="1600" w:type="pct"/><w:noWrap/></w:tcPr><w:p><w:pPr/></w:p></w:tc></w:tr><w:tr><w:trPr/><w:tc><w:tcPr><w:tcW w:w="5000" w:type="pct"/><w:vAlign w:val="top"/><w:noWrap/></w:tcPr><w:p><w:pPr><w:jc w:val="center"/></w:pPr><w:r><w:rPr><w:rFonts w:ascii="Times New Roman" w:hAnsi="Times New Roman" w:eastAsia="Times New Roman" w:cs="Times New Roman"/><w:sz w:val="20"/><w:szCs w:val="20"/><w:b w:val="1"/><w:bCs w:val="1"/></w:rPr><w:t xml:space="preserve">Delaware</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jc w:val="center"/></w:pPr><w:r><w:rPr><w:rFonts w:ascii="Times New Roman" w:hAnsi="Times New Roman" w:eastAsia="Times New Roman" w:cs="Times New Roman"/><w:sz w:val="20"/><w:szCs w:val="20"/><w:b w:val="1"/><w:bCs w:val="1"/></w:rPr><w:t xml:space="preserve">001-37906</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jc w:val="center"/></w:pPr><w:r><w:rPr><w:rFonts w:ascii="Times New Roman" w:hAnsi="Times New Roman" w:eastAsia="Times New Roman" w:cs="Times New Roman"/><w:sz w:val="20"/><w:szCs w:val="20"/><w:b w:val="1"/><w:bCs w:val="1"/></w:rPr><w:t xml:space="preserve">98-1329150</w:t></w:r></w:p></w:tc></w:tr><w:tr><w:trPr/><w:tc><w:tcPr><w:tcW w:w="5000" w:type="pct"/><w:vAlign w:val="top"/><w:noWrap/></w:tcPr><w:p><w:pPr><w:jc w:val="center"/><w:spacing w:before="0" w:after="0"/></w:pPr><w:r><w:rPr><w:rFonts w:ascii="Times New Roman" w:hAnsi="Times New Roman" w:eastAsia="Times New Roman" w:cs="Times New Roman"/><w:sz w:val="16"/><w:szCs w:val="16"/><w:b w:val="1"/><w:bCs w:val="1"/></w:rPr><w:t xml:space="preserve">(State or Other Jurisdiction</w:t></w:r></w:p><w:p><w:pPr><w:jc w:val="center"/><w:spacing w:before="0" w:after="20"/></w:pPr><w:r><w:rPr><w:rFonts w:ascii="Times New Roman" w:hAnsi="Times New Roman" w:eastAsia="Times New Roman" w:cs="Times New Roman"/><w:sz w:val="16"/><w:szCs w:val="16"/><w:b w:val="1"/><w:bCs w:val="1"/></w:rPr><w:t xml:space="preserve">of Incorporation)</w:t></w:r></w:p></w:tc><w:tc><w:tcPr><w:tcW w:w="5000" w:type="pct"/><w:vAlign w:val="bottom"/><w:noWrap/></w:tcPr><w:p><w:pPr/><w:r><w:rPr><w:rFonts w:ascii="Times New Roman" w:hAnsi="Times New Roman" w:eastAsia="Times New Roman" w:cs="Times New Roman"/><w:sz w:val="16"/><w:szCs w:val="16"/></w:rPr><w:t xml:space="preserve"> </w:t></w:r></w:p></w:tc><w:tc><w:tcPr><w:tcW w:w="5000" w:type="pct"/><w:vAlign w:val="top"/><w:noWrap/></w:tcPr><w:p><w:pPr><w:jc w:val="center"/><w:spacing w:before="0" w:after="0"/></w:pPr><w:r><w:rPr><w:rFonts w:ascii="Times New Roman" w:hAnsi="Times New Roman" w:eastAsia="Times New Roman" w:cs="Times New Roman"/><w:sz w:val="16"/><w:szCs w:val="16"/><w:b w:val="1"/><w:bCs w:val="1"/></w:rPr><w:t xml:space="preserve">(Commission</w:t></w:r></w:p><w:p><w:pPr><w:jc w:val="center"/><w:spacing w:before="0" w:after="20"/></w:pPr><w:r><w:rPr><w:rFonts w:ascii="Times New Roman" w:hAnsi="Times New Roman" w:eastAsia="Times New Roman" w:cs="Times New Roman"/><w:sz w:val="16"/><w:szCs w:val="16"/><w:b w:val="1"/><w:bCs w:val="1"/></w:rPr><w:t xml:space="preserve">File Number)</w:t></w:r></w:p></w:tc><w:tc><w:tcPr><w:tcW w:w="5000" w:type="pct"/><w:vAlign w:val="bottom"/><w:noWrap/></w:tcPr><w:p><w:pPr/><w:r><w:rPr><w:rFonts w:ascii="Times New Roman" w:hAnsi="Times New Roman" w:eastAsia="Times New Roman" w:cs="Times New Roman"/><w:sz w:val="16"/><w:szCs w:val="16"/></w:rPr><w:t xml:space="preserve"> </w:t></w:r></w:p></w:tc><w:tc><w:tcPr><w:tcW w:w="5000" w:type="pct"/><w:vAlign w:val="top"/><w:noWrap/></w:tcPr><w:p><w:pPr><w:jc w:val="center"/><w:spacing w:before="0" w:after="0"/></w:pPr><w:r><w:rPr><w:rFonts w:ascii="Times New Roman" w:hAnsi="Times New Roman" w:eastAsia="Times New Roman" w:cs="Times New Roman"/><w:sz w:val="16"/><w:szCs w:val="16"/><w:b w:val="1"/><w:bCs w:val="1"/></w:rPr><w:t xml:space="preserve">(IRS Employer</w:t></w:r></w:p><w:p><w:pPr><w:jc w:val="center"/><w:spacing w:before="0" w:after="20"/></w:pPr><w:r><w:rPr><w:rFonts w:ascii="Times New Roman" w:hAnsi="Times New Roman" w:eastAsia="Times New Roman" w:cs="Times New Roman"/><w:sz w:val="16"/><w:szCs w:val="16"/><w:b w:val="1"/><w:bCs w:val="1"/></w:rPr><w:t xml:space="preserve">Identification No.)</w:t></w:r></w:p></w:tc></w:tr></w:tbl><w:p><w:pPr><w:jc w:val="start"/><w:spacing w:before="0" w:after="0"/></w:pPr><w:r><w:rPr><w:sz w:val="24"/><w:szCs w:val="24"/></w:rPr><w:t xml:space="preserve"> </w:t></w:r></w:p><w:tbl><w:tblGrid><w:gridCol w:w="2500" w:type="dxa"/><w:gridCol w:w="50" w:type="dxa"/><w:gridCol w:w="2400" w:type="dxa"/></w:tblGrid><w:tblPr><w:tblW w:w="5000" w:type="pct"/><w:tblCellSpacing w:w="0" w:type="dxa"/><w:tblLayout w:type="autofit"/></w:tblPr><w:tr><w:trPr/><w:tc><w:tcPr><w:tcW w:w="2500" w:type="pct"/><w:noWrap/></w:tcPr><w:p><w:pPr/></w:p></w:tc><w:tc><w:tcPr><w:tcW w:w="50" w:type="pct"/><w:vAlign w:val="bottom"/><w:noWrap/></w:tcPr><w:p><w:pPr/></w:p></w:tc><w:tc><w:tcPr><w:tcW w:w="2400" w:type="pct"/><w:noWrap/></w:tcPr><w:p><w:pPr/></w:p></w:tc></w:tr><w:tr><w:trPr/><w:tc><w:tcPr><w:tcW w:w="5000" w:type="pct"/><w:vAlign w:val="top"/><w:noWrap/></w:tcPr><w:p><w:pPr><w:jc w:val="center"/><w:spacing w:before="0" w:after="0"/></w:pPr><w:r><w:rPr><w:rFonts w:ascii="Times New Roman" w:hAnsi="Times New Roman" w:eastAsia="Times New Roman" w:cs="Times New Roman"/><w:sz w:val="20"/><w:szCs w:val="20"/><w:b w:val="1"/><w:bCs w:val="1"/></w:rPr><w:t xml:space="preserve">85 Dan Road</w:t></w:r></w:p><w:p><w:pPr><w:jc w:val="center"/><w:spacing w:before="0" w:after="20"/></w:pPr><w:r><w:rPr><w:rFonts w:ascii="Times New Roman" w:hAnsi="Times New Roman" w:eastAsia="Times New Roman" w:cs="Times New Roman"/><w:sz w:val="20"/><w:szCs w:val="20"/><w:b w:val="1"/><w:bCs w:val="1"/></w:rPr><w:t xml:space="preserve">Canton, MA</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center"/></w:pPr><w:r><w:rPr><w:rFonts w:ascii="Times New Roman" w:hAnsi="Times New Roman" w:eastAsia="Times New Roman" w:cs="Times New Roman"/><w:sz w:val="20"/><w:szCs w:val="20"/><w:b w:val="1"/><w:bCs w:val="1"/></w:rPr><w:t xml:space="preserve">02021</w:t></w:r></w:p></w:tc></w:tr><w:tr><w:trPr/><w:tc><w:tcPr><w:tcW w:w="5000" w:type="pct"/><w:vAlign w:val="top"/><w:noWrap/></w:tcPr><w:p><w:pPr><w:jc w:val="center"/></w:pPr><w:r><w:rPr><w:rFonts w:ascii="Times New Roman" w:hAnsi="Times New Roman" w:eastAsia="Times New Roman" w:cs="Times New Roman"/><w:sz w:val="16"/><w:szCs w:val="16"/><w:b w:val="1"/><w:bCs w:val="1"/></w:rPr><w:t xml:space="preserve">(Address of principal executive offices)</w:t></w:r></w:p></w:tc><w:tc><w:tcPr><w:tcW w:w="5000" w:type="pct"/><w:vAlign w:val="bottom"/><w:noWrap/></w:tcPr><w:p><w:pPr/><w:r><w:rPr><w:rFonts w:ascii="Times New Roman" w:hAnsi="Times New Roman" w:eastAsia="Times New Roman" w:cs="Times New Roman"/><w:sz w:val="16"/><w:szCs w:val="16"/></w:rPr><w:t xml:space="preserve"> </w:t></w:r></w:p></w:tc><w:tc><w:tcPr><w:tcW w:w="5000" w:type="pct"/><w:vAlign w:val="top"/><w:noWrap/></w:tcPr><w:p><w:pPr><w:jc w:val="center"/></w:pPr><w:r><w:rPr><w:rFonts w:ascii="Times New Roman" w:hAnsi="Times New Roman" w:eastAsia="Times New Roman" w:cs="Times New Roman"/><w:sz w:val="16"/><w:szCs w:val="16"/><w:b w:val="1"/><w:bCs w:val="1"/></w:rPr><w:t xml:space="preserve">(Zip Code)</w:t></w:r></w:p></w:tc></w:tr></w:tbl><w:p><w:pPr><w:jc w:val="center"/><w:spacing w:before="240" w:after="0"/></w:pPr><w:r><w:rPr><w:rFonts w:ascii="Times New Roman" w:hAnsi="Times New Roman" w:eastAsia="Times New Roman" w:cs="Times New Roman"/><w:sz w:val="20"/><w:szCs w:val="20"/><w:b w:val="1"/><w:bCs w:val="1"/></w:rPr><w:t xml:space="preserve">(781) </w:t></w:r><w:r><w:rPr><w:rFonts w:ascii="Times New Roman" w:hAnsi="Times New Roman" w:eastAsia="Times New Roman" w:cs="Times New Roman"/><w:sz w:val="20"/><w:szCs w:val="20"/><w:b w:val="1"/><w:bCs w:val="1"/></w:rPr><w:t xml:space="preserve">575-0775</w:t></w:r></w:p><w:p><w:pPr><w:jc w:val="center"/><w:spacing w:before="0" w:after="0"/></w:pPr><w:r><w:rPr><w:rFonts w:ascii="Times New Roman" w:hAnsi="Times New Roman" w:eastAsia="Times New Roman" w:cs="Times New Roman"/><w:sz w:val="16"/><w:szCs w:val="16"/><w:b w:val="1"/><w:bCs w:val="1"/></w:rPr><w:t xml:space="preserve">(Registrant’s telephone number, including area code)</w:t></w:r></w:p><w:p><w:pPr><w:jc w:val="center"/><w:spacing w:before="240" w:after="0"/></w:pPr><w:r><w:rPr><w:rFonts w:ascii="Times New Roman" w:hAnsi="Times New Roman" w:eastAsia="Times New Roman" w:cs="Times New Roman"/><w:sz w:val="20"/><w:szCs w:val="20"/><w:b w:val="1"/><w:bCs w:val="1"/></w:rPr><w:t xml:space="preserve">Not Applicable</w:t></w:r></w:p><w:p><w:pPr><w:jc w:val="center"/><w:spacing w:before="0" w:after="0"/></w:pPr><w:r><w:rPr><w:rFonts w:ascii="Times New Roman" w:hAnsi="Times New Roman" w:eastAsia="Times New Roman" w:cs="Times New Roman"/><w:sz w:val="16"/><w:szCs w:val="16"/><w:b w:val="1"/><w:bCs w:val="1"/></w:rPr><w:t xml:space="preserve">(Registrant’s name or former address, if change since last report)</w:t></w:r></w:p><w:p><w:pPr><w:jc w:val="start"/><w:spacing w:before="0" w:after="0"/></w:pPr><w:r><w:rPr><w:sz w:val="24"/><w:szCs w:val="24"/></w:rPr><w:t xml:space="preserve"> </w:t></w:r></w:p><w:p><w:pPr><w:jc w:val="center"/><w:spacing w:before="0" w:after="40" w:line="120" w:lineRule="exact"/></w:pPr><w:r><w:rPr/><w:t xml:space="preserve"> </w:t></w:r></w:p><w:p><w:pPr><w:jc w:val="start"/><w:spacing w:before="240" w:after="0"/></w:pPr><w:r><w:rPr><w:rFonts w:ascii="Times New Roman" w:hAnsi="Times New Roman" w:eastAsia="Times New Roman" w:cs="Times New Roman"/><w:sz w:val="20"/><w:szCs w:val="20"/></w:rPr><w:t xml:space="preserve">Check the appropriate box below if the Form </w:t></w:r><w:r><w:rPr><w:rFonts w:ascii="Times New Roman" w:hAnsi="Times New Roman" w:eastAsia="Times New Roman" w:cs="Times New Roman"/><w:sz w:val="20"/><w:szCs w:val="20"/></w:rPr><w:t xml:space="preserve">8-K</w:t></w:r><w:r><w:rPr><w:rFonts w:ascii="Times New Roman" w:hAnsi="Times New Roman" w:eastAsia="Times New Roman" w:cs="Times New Roman"/><w:sz w:val="20"/><w:szCs w:val="20"/></w:rPr><w:t xml:space="preserve"> filing is intended to simultaneously satisfy the filing obligation of the registrant under any of the following provisions:</w:t></w:r></w:p><w:p><w:pPr><w:jc w:val="start"/><w:spacing w:before="0" w:after="0"/></w:pPr><w:r><w:rPr><w:sz w:val="12"/><w:szCs w:val="12"/></w:rPr><w:t xml:space="preserve"> </w:t></w:r></w:p><w:tbl><w:tblGrid><w:gridCol w:w="200" w:type="dxa"/><w:gridCol w:w="5000" w:type="dxa"/></w:tblGrid><w:tblPr><w:tblW w:w="5000" w:type="pct"/><w:tblCellSpacing w:w="0" w:type="dxa"/><w:tblLayout w:type="autofit"/></w:tblPr><w:tr><w:trPr/><w:tc><w:tcPr><w:tcW w:w="200" w:type="pct"/><w:vAlign w:val="top"/><w:noWrap/></w:tcPr><w:p><w:pPr/><w:r><w:rPr><w:rFonts w:ascii="Times New Roman" w:hAnsi="Times New Roman" w:eastAsia="Times New Roman" w:cs="Times New Roman"/><w:sz w:val="20"/><w:szCs w:val="20"/></w:rPr><w:t xml:space="preserve">☐</w:t></w:r></w:p></w:tc><w:tc><w:tcPr><w:tcW w:w="5000" w:type="pct"/><w:vAlign w:val="top"/><w:noWrap/></w:tcPr><w:p><w:pPr><w:jc w:val="start"/><w:spacing w:before="0" w:after="0"/></w:pPr><w:r><w:rPr><w:rFonts w:ascii="Times New Roman" w:hAnsi="Times New Roman" w:eastAsia="Times New Roman" w:cs="Times New Roman"/><w:sz w:val="20"/><w:szCs w:val="20"/></w:rPr><w:t xml:space="preserve">Written communications pursuant to Rule 425 under the Securities Act (17 CFR 230.425)</w:t></w:r></w:p></w:tc></w:tr></w:tbl><w:p><w:pPr><w:jc w:val="start"/><w:spacing w:before="0" w:after="0"/></w:pPr><w:r><w:rPr><w:sz w:val="12"/><w:szCs w:val="12"/></w:rPr><w:t xml:space="preserve"> </w:t></w:r></w:p><w:tbl><w:tblGrid><w:gridCol w:w="200" w:type="dxa"/><w:gridCol w:w="5000" w:type="dxa"/></w:tblGrid><w:tblPr><w:tblW w:w="5000" w:type="pct"/><w:tblCellSpacing w:w="0" w:type="dxa"/><w:tblLayout w:type="autofit"/></w:tblPr><w:tr><w:trPr/><w:tc><w:tcPr><w:tcW w:w="200" w:type="pct"/><w:vAlign w:val="top"/><w:noWrap/></w:tcPr><w:p><w:pPr/><w:r><w:rPr><w:rFonts w:ascii="Times New Roman" w:hAnsi="Times New Roman" w:eastAsia="Times New Roman" w:cs="Times New Roman"/><w:sz w:val="20"/><w:szCs w:val="20"/></w:rPr><w:t xml:space="preserve">☐</w:t></w:r></w:p></w:tc><w:tc><w:tcPr><w:tcW w:w="5000" w:type="pct"/><w:vAlign w:val="top"/><w:noWrap/></w:tcPr><w:p><w:pPr><w:jc w:val="start"/><w:spacing w:before="0" w:after="0"/></w:pPr><w:r><w:rPr><w:rFonts w:ascii="Times New Roman" w:hAnsi="Times New Roman" w:eastAsia="Times New Roman" w:cs="Times New Roman"/><w:sz w:val="20"/><w:szCs w:val="20"/></w:rPr><w:t xml:space="preserve">Soliciting material pursuant to Rule </w:t></w:r><w:r><w:rPr><w:rFonts w:ascii="Times New Roman" w:hAnsi="Times New Roman" w:eastAsia="Times New Roman" w:cs="Times New Roman"/><w:sz w:val="20"/><w:szCs w:val="20"/></w:rPr><w:t xml:space="preserve">14a-12</w:t></w:r><w:r><w:rPr><w:rFonts w:ascii="Times New Roman" w:hAnsi="Times New Roman" w:eastAsia="Times New Roman" w:cs="Times New Roman"/><w:sz w:val="20"/><w:szCs w:val="20"/></w:rPr><w:t xml:space="preserve"> under the Exchange Act (17 CFR </w:t></w:r><w:r><w:rPr><w:rFonts w:ascii="Times New Roman" w:hAnsi="Times New Roman" w:eastAsia="Times New Roman" w:cs="Times New Roman"/><w:sz w:val="20"/><w:szCs w:val="20"/></w:rPr><w:t xml:space="preserve">240.14a-12)</w:t></w:r></w:p></w:tc></w:tr></w:tbl><w:p><w:pPr><w:jc w:val="start"/><w:spacing w:before="0" w:after="0"/></w:pPr><w:r><w:rPr><w:sz w:val="12"/><w:szCs w:val="12"/></w:rPr><w:t xml:space="preserve"> </w:t></w:r></w:p><w:tbl><w:tblGrid><w:gridCol w:w="200" w:type="dxa"/><w:gridCol w:w="5000" w:type="dxa"/></w:tblGrid><w:tblPr><w:tblW w:w="5000" w:type="pct"/><w:tblCellSpacing w:w="0" w:type="dxa"/><w:tblLayout w:type="autofit"/></w:tblPr><w:tr><w:trPr/><w:tc><w:tcPr><w:tcW w:w="200" w:type="pct"/><w:vAlign w:val="top"/><w:noWrap/></w:tcPr><w:p><w:pPr/><w:r><w:rPr><w:rFonts w:ascii="Times New Roman" w:hAnsi="Times New Roman" w:eastAsia="Times New Roman" w:cs="Times New Roman"/><w:sz w:val="20"/><w:szCs w:val="20"/></w:rPr><w:t xml:space="preserve">☐</w:t></w:r></w:p></w:tc><w:tc><w:tcPr><w:tcW w:w="5000" w:type="pct"/><w:vAlign w:val="top"/><w:noWrap/></w:tcPr><w:p><w:pPr><w:jc w:val="start"/><w:spacing w:before="0" w:after="0"/></w:pPr><w:r><w:rPr><w:rFonts w:ascii="Times New Roman" w:hAnsi="Times New Roman" w:eastAsia="Times New Roman" w:cs="Times New Roman"/><w:sz w:val="20"/><w:szCs w:val="20"/></w:rPr><w:t xml:space="preserve">Pre-commencement</w:t></w:r><w:r><w:rPr><w:rFonts w:ascii="Times New Roman" w:hAnsi="Times New Roman" w:eastAsia="Times New Roman" w:cs="Times New Roman"/><w:sz w:val="20"/><w:szCs w:val="20"/></w:rPr><w:t xml:space="preserve"> communications pursuant to Rule </w:t></w:r><w:r><w:rPr><w:rFonts w:ascii="Times New Roman" w:hAnsi="Times New Roman" w:eastAsia="Times New Roman" w:cs="Times New Roman"/><w:sz w:val="20"/><w:szCs w:val="20"/></w:rPr><w:t xml:space="preserve">14d-2(b)</w:t></w:r><w:r><w:rPr><w:rFonts w:ascii="Times New Roman" w:hAnsi="Times New Roman" w:eastAsia="Times New Roman" w:cs="Times New Roman"/><w:sz w:val="20"/><w:szCs w:val="20"/></w:rPr><w:t xml:space="preserve"> under the Exchange Act (17 CFR </w:t></w:r><w:r><w:rPr><w:rFonts w:ascii="Times New Roman" w:hAnsi="Times New Roman" w:eastAsia="Times New Roman" w:cs="Times New Roman"/><w:sz w:val="20"/><w:szCs w:val="20"/></w:rPr><w:t xml:space="preserve">240.14d-2(b))</w:t></w:r></w:p></w:tc></w:tr></w:tbl><w:p><w:pPr><w:jc w:val="start"/><w:spacing w:before="0" w:after="0"/></w:pPr><w:r><w:rPr><w:sz w:val="12"/><w:szCs w:val="12"/></w:rPr><w:t xml:space="preserve"> </w:t></w:r></w:p><w:tbl><w:tblGrid><w:gridCol w:w="200" w:type="dxa"/><w:gridCol w:w="5000" w:type="dxa"/></w:tblGrid><w:tblPr><w:tblW w:w="5000" w:type="pct"/><w:tblCellSpacing w:w="0" w:type="dxa"/><w:tblLayout w:type="autofit"/></w:tblPr><w:tr><w:trPr/><w:tc><w:tcPr><w:tcW w:w="200" w:type="pct"/><w:vAlign w:val="top"/><w:noWrap/></w:tcPr><w:p><w:pPr/><w:r><w:rPr><w:rFonts w:ascii="Times New Roman" w:hAnsi="Times New Roman" w:eastAsia="Times New Roman" w:cs="Times New Roman"/><w:sz w:val="20"/><w:szCs w:val="20"/></w:rPr><w:t xml:space="preserve">☐</w:t></w:r></w:p></w:tc><w:tc><w:tcPr><w:tcW w:w="5000" w:type="pct"/><w:vAlign w:val="top"/><w:noWrap/></w:tcPr><w:p><w:pPr><w:jc w:val="start"/><w:spacing w:before="0" w:after="0"/></w:pPr><w:r><w:rPr><w:rFonts w:ascii="Times New Roman" w:hAnsi="Times New Roman" w:eastAsia="Times New Roman" w:cs="Times New Roman"/><w:sz w:val="20"/><w:szCs w:val="20"/></w:rPr><w:t xml:space="preserve">Pre-commencement</w:t></w:r><w:r><w:rPr><w:rFonts w:ascii="Times New Roman" w:hAnsi="Times New Roman" w:eastAsia="Times New Roman" w:cs="Times New Roman"/><w:sz w:val="20"/><w:szCs w:val="20"/></w:rPr><w:t xml:space="preserve"> communications pursuant to Rule </w:t></w:r><w:r><w:rPr><w:rFonts w:ascii="Times New Roman" w:hAnsi="Times New Roman" w:eastAsia="Times New Roman" w:cs="Times New Roman"/><w:sz w:val="20"/><w:szCs w:val="20"/></w:rPr><w:t xml:space="preserve">13e-4(c)</w:t></w:r><w:r><w:rPr><w:rFonts w:ascii="Times New Roman" w:hAnsi="Times New Roman" w:eastAsia="Times New Roman" w:cs="Times New Roman"/><w:sz w:val="20"/><w:szCs w:val="20"/></w:rPr><w:t xml:space="preserve"> under the Exchange Act (17 CFR </w:t></w:r><w:r><w:rPr><w:rFonts w:ascii="Times New Roman" w:hAnsi="Times New Roman" w:eastAsia="Times New Roman" w:cs="Times New Roman"/><w:sz w:val="20"/><w:szCs w:val="20"/></w:rPr><w:t xml:space="preserve">240.13e-4(c))</w:t></w:r></w:p></w:tc></w:tr></w:tbl><w:p><w:pPr><w:jc w:val="start"/><w:spacing w:before="240" w:after="0"/></w:pPr><w:r><w:rPr><w:rFonts w:ascii="Times New Roman" w:hAnsi="Times New Roman" w:eastAsia="Times New Roman" w:cs="Times New Roman"/><w:sz w:val="20"/><w:szCs w:val="20"/></w:rPr><w:t xml:space="preserve">Securities registered pursuant to Section 12(b) of the Act:</w:t></w:r></w:p><w:p><w:pPr><w:jc w:val="start"/><w:spacing w:before="0" w:after="0"/></w:pPr><w:r><w:rPr><w:sz w:val="24"/><w:szCs w:val="24"/></w:rPr><w:t xml:space="preserve"> </w:t></w:r></w:p><w:tbl><w:tblGrid><w:gridCol w:w="1750" w:type="dxa"/><w:gridCol w:w="50" w:type="dxa"/><w:gridCol w:w="1600" w:type="dxa"/><w:gridCol w:w="50" w:type="dxa"/><w:gridCol w:w="1550" w:type="dxa"/></w:tblGrid><w:tblPr><w:tblW w:w="5000" w:type="pct"/><w:tblCellSpacing w:w="0" w:type="dxa"/><w:tblLayout w:type="autofit"/></w:tblPr><w:tr><w:trPr/><w:tc><w:tcPr><w:tcW w:w="1750" w:type="pct"/><w:noWrap/></w:tcPr><w:p><w:pPr/></w:p></w:tc><w:tc><w:tcPr><w:tcW w:w="50" w:type="pct"/><w:vAlign w:val="bottom"/><w:noWrap/></w:tcPr><w:p><w:pPr/></w:p></w:tc><w:tc><w:tcPr><w:tcW w:w="1600" w:type="pct"/><w:noWrap/></w:tcPr><w:p><w:pPr/></w:p></w:tc><w:tc><w:tcPr><w:tcW w:w="50" w:type="pct"/><w:vAlign w:val="bottom"/><w:noWrap/></w:tcPr><w:p><w:pPr/></w:p></w:tc><w:tc><w:tcPr><w:tcW w:w="1550" w:type="pct"/><w:noWrap/></w:tcPr><w:p><w:pPr/></w:p></w:tc></w:tr><w:tr><w:trPr/><w:tc><w:tcPr><w:tcW w:w="5000" w:type="pct"/><w:vAlign w:val="bottom"/><w:noWrap/></w:tcPr><w:p><w:pPr><w:jc w:val="center"/><w:spacing w:before="0" w:after="20"/></w:pPr><w:r><w:rPr><w:rFonts w:ascii="Times New Roman" w:hAnsi="Times New Roman" w:eastAsia="Times New Roman" w:cs="Times New Roman"/><w:sz w:val="16"/><w:szCs w:val="16"/><w:b w:val="1"/><w:bCs w:val="1"/></w:rPr><w:t xml:space="preserve">Title of each class</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jc w:val="center"/><w:spacing w:before="0" w:after="0"/></w:pPr><w:r><w:rPr><w:rFonts w:ascii="Times New Roman" w:hAnsi="Times New Roman" w:eastAsia="Times New Roman" w:cs="Times New Roman"/><w:sz w:val="16"/><w:szCs w:val="16"/><w:b w:val="1"/><w:bCs w:val="1"/></w:rPr><w:t xml:space="preserve">Trading</w:t></w:r></w:p><w:p><w:pPr><w:jc w:val="center"/><w:spacing w:before="0" w:after="20"/></w:pPr><w:r><w:rPr><w:rFonts w:ascii="Times New Roman" w:hAnsi="Times New Roman" w:eastAsia="Times New Roman" w:cs="Times New Roman"/><w:sz w:val="16"/><w:szCs w:val="16"/><w:b w:val="1"/><w:bCs w:val="1"/></w:rPr><w:t xml:space="preserve">Symbol(s)</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jc w:val="center"/><w:spacing w:before="0" w:after="0"/></w:pPr><w:r><w:rPr><w:rFonts w:ascii="Times New Roman" w:hAnsi="Times New Roman" w:eastAsia="Times New Roman" w:cs="Times New Roman"/><w:sz w:val="16"/><w:szCs w:val="16"/><w:b w:val="1"/><w:bCs w:val="1"/></w:rPr><w:t xml:space="preserve">Name of each exchange</w:t></w:r></w:p><w:p><w:pPr><w:jc w:val="center"/><w:spacing w:before="0" w:after="20"/></w:pPr><w:r><w:rPr><w:rFonts w:ascii="Times New Roman" w:hAnsi="Times New Roman" w:eastAsia="Times New Roman" w:cs="Times New Roman"/><w:sz w:val="16"/><w:szCs w:val="16"/><w:b w:val="1"/><w:bCs w:val="1"/></w:rPr><w:t xml:space="preserve">on which registered</w:t></w:r></w:p></w:tc></w:tr><w:tr><w:trPr/><w:tc><w:tcPr><w:tcW w:w="5000" w:type="pct"/><w:vAlign w:val="top"/><w:noWrap/></w:tcPr><w:p><w:pPr><w:jc w:val="center"/></w:pPr><w:r><w:rPr><w:rFonts w:ascii="Times New Roman" w:hAnsi="Times New Roman" w:eastAsia="Times New Roman" w:cs="Times New Roman"/><w:sz w:val="20"/><w:szCs w:val="20"/><w:b w:val="1"/><w:bCs w:val="1"/></w:rPr><w:t xml:space="preserve">Class A Common Stock, $0.0001 par value</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jc w:val="center"/></w:pPr><w:r><w:rPr><w:rFonts w:ascii="Times New Roman" w:hAnsi="Times New Roman" w:eastAsia="Times New Roman" w:cs="Times New Roman"/><w:sz w:val="20"/><w:szCs w:val="20"/><w:b w:val="1"/><w:bCs w:val="1"/></w:rPr><w:t xml:space="preserve">ORGO</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jc w:val="center"/></w:pPr><w:r><w:rPr><w:rFonts w:ascii="Times New Roman" w:hAnsi="Times New Roman" w:eastAsia="Times New Roman" w:cs="Times New Roman"/><w:sz w:val="20"/><w:szCs w:val="20"/><w:b w:val="1"/><w:bCs w:val="1"/></w:rPr><w:t xml:space="preserve">Nasdaq Capital Market</w:t></w:r></w:p></w:tc></w:tr></w:tbl><w:p><w:pPr><w:jc w:val="start"/><w:spacing w:before="240" w:after="0"/></w:pPr><w:r><w:rPr><w:rFonts w:ascii="Times New Roman" w:hAnsi="Times New Roman" w:eastAsia="Times New Roman" w:cs="Times New Roman"/><w:sz w:val="20"/><w:szCs w:val="20"/></w:rPr><w:t xml:space="preserve">Indicate by check mark whether the registrant is an emerging growth company as defined in Rule 405 of the Securities Act of 1933 (§230.405 of this chapter) or Rule </w:t></w:r><w:r><w:rPr><w:rFonts w:ascii="Times New Roman" w:hAnsi="Times New Roman" w:eastAsia="Times New Roman" w:cs="Times New Roman"/><w:sz w:val="20"/><w:szCs w:val="20"/></w:rPr><w:t xml:space="preserve">12b-2</w:t></w:r><w:r><w:rPr><w:rFonts w:ascii="Times New Roman" w:hAnsi="Times New Roman" w:eastAsia="Times New Roman" w:cs="Times New Roman"/><w:sz w:val="20"/><w:szCs w:val="20"/></w:rPr><w:t xml:space="preserve"> of the Securities Exchange Act of 1934 </w:t></w:r><w:r><w:rPr><w:rFonts w:ascii="Times New Roman" w:hAnsi="Times New Roman" w:eastAsia="Times New Roman" w:cs="Times New Roman"/><w:sz w:val="20"/><w:szCs w:val="20"/></w:rPr><w:t xml:space="preserve">(§240.12b-2</w:t></w:r><w:r><w:rPr><w:rFonts w:ascii="Times New Roman" w:hAnsi="Times New Roman" w:eastAsia="Times New Roman" w:cs="Times New Roman"/><w:sz w:val="20"/><w:szCs w:val="20"/></w:rPr><w:t xml:space="preserve"> of this chapter).</w:t></w:r></w:p><w:p><w:pPr><w:jc w:val="start"/><w:ind w:left="0" w:right="0" w:firstLine="0" w:hanging="0"/><w:spacing w:before="240" w:after="0"/></w:pPr><w:r><w:rPr><w:rFonts w:ascii="Times New Roman" w:hAnsi="Times New Roman" w:eastAsia="Times New Roman" w:cs="Times New Roman"/><w:sz w:val="20"/><w:szCs w:val="20"/></w:rPr><w:t xml:space="preserve">Emerging Growth Company  ☒</w:t></w:r></w:p><w:p><w:pPr><w:jc w:val="start"/><w:spacing w:before="240" w:after="0"/></w:pPr><w:r><w:rPr><w:rFonts w:ascii="Times New Roman" w:hAnsi="Times New Roman" w:eastAsia="Times New Roman" w:cs="Times New Roman"/><w:sz w:val="20"/><w:szCs w:val="20"/></w:rPr><w:t xml:space="preserve">If an emerging growth company, indicate by check mark if the registrant has elected not to use the extended transition period for complying with any new or revised financial accounting standards pursuant to Section 13(a) of the Exchange Act.  ☐</w:t></w:r></w:p><w:p><w:pPr><w:jc w:val="start"/><w:spacing w:before="0" w:after="0"/></w:pPr><w:r><w:rPr><w:sz w:val="20"/><w:szCs w:val="20"/></w:rPr><w:t xml:space="preserve"> </w:t></w:r></w:p><w:p><w:pPr><w:jc w:val="start"/><w:spacing w:before="0" w:after="0" w:line="20" w:lineRule="exact"/></w:pPr><w:r><w:rPr/><w:t xml:space="preserve"> </w:t></w:r></w:p><w:p><w:pPr><w:jc w:val="start"/><w:spacing w:before="0" w:after="40" w:line="60" w:lineRule="exact"/></w:pPr><w:r><w:rPr/><w:t xml:space="preserve"> </w:t></w:r></w:p><w:p><w:pPr><w:spacing w:before="0" w:after="0"/></w:pPr><w:r><w:rPr/><w:t xml:space="preserve"> </w:t></w:r></w:p><w:p><w:pPr><w:spacing w:before="120" w:after="120" w:line="240" w:lineRule="auto"/><w:pBdr><w:bottom w:val="single" w:sz="1" w:color="999999"/></w:pBdr></w:pPr><w:r><w:rPr><w:color w:val="999999"/><w:sz w:val="6"/><w:szCs w:val="6"/></w:rPr><w:t xml:space="preserve"></w:t></w:r></w:p><w:tbl><w:tblGrid><w:gridCol w:w="550" w:type="dxa"/><w:gridCol w:w="5000" w:type="dxa"/></w:tblGrid><w:tblPr><w:tblW w:w="5000" w:type="pct"/><w:tblCellSpacing w:w="0" w:type="dxa"/><w:tblLayout w:type="autofit"/></w:tblPr><w:tr><w:trPr/><w:tc><w:tcPr><w:tcW w:w="550" w:type="pct"/><w:vAlign w:val="top"/><w:noWrap/></w:tcPr><w:p><w:pPr><w:jc w:val="start"/></w:pPr><w:r><w:rPr><w:rFonts w:ascii="Times New Roman" w:hAnsi="Times New Roman" w:eastAsia="Times New Roman" w:cs="Times New Roman"/><w:sz w:val="20"/><w:szCs w:val="20"/><w:b w:val="1"/><w:bCs w:val="1"/></w:rPr><w:t xml:space="preserve">Item 5.02</w:t></w:r></w:p></w:tc><w:tc><w:tcPr><w:tcW w:w="5000" w:type="pct"/><w:vAlign w:val="top"/><w:noWrap/></w:tcPr><w:p><w:pPr><w:jc w:val="start"/><w:spacing w:before="0" w:after="0"/></w:pPr><w:r><w:rPr><w:rFonts w:ascii="Times New Roman" w:hAnsi="Times New Roman" w:eastAsia="Times New Roman" w:cs="Times New Roman"/><w:sz w:val="20"/><w:szCs w:val="20"/><w:b w:val="1"/><w:bCs w:val="1"/></w:rPr><w:t xml:space="preserve">Departure of Directors or Certain Officers; Election of Directors; Appointment of Certain Officers; Compensatory Arrangements of Certain Officers. </w:t></w:r></w:p></w:tc></w:tr></w:tbl><w:p><w:pPr><w:jc w:val="start"/><w:ind w:left="0" w:right="0" w:firstLine="0" w:hanging="0"/><w:spacing w:before="120" w:after="0"/></w:pPr><w:r><w:rPr><w:rFonts w:ascii="Times New Roman" w:hAnsi="Times New Roman" w:eastAsia="Times New Roman" w:cs="Times New Roman"/><w:sz w:val="20"/><w:szCs w:val="20"/></w:rPr><w:t xml:space="preserve">On August 18, 2020, Organogenesis Holdings Inc. (the “Company”) appointed Henry Hagopian, age 52, as its Vice President of Finance, Treasurer and interim Chief Financial Officer. Mr. Hagopian’s employment with the Company will be on </w:t></w:r><w:r><w:rPr><w:rFonts w:ascii="Times New Roman" w:hAnsi="Times New Roman" w:eastAsia="Times New Roman" w:cs="Times New Roman"/><w:sz w:val="20"/><w:szCs w:val="20"/></w:rPr><w:t xml:space="preserve">an at-will basis</w:t></w:r><w:r><w:rPr><w:rFonts w:ascii="Times New Roman" w:hAnsi="Times New Roman" w:eastAsia="Times New Roman" w:cs="Times New Roman"/><w:sz w:val="20"/><w:szCs w:val="20"/></w:rPr><w:t xml:space="preserve"> and the terms of his arrangement with the Company provide for payment of an annual base salary of $265,000. He will be eligible for an annual target bonus of 25% of his base salary as of the end of each fiscal year and also will participate in the Company’s employee benefit plans. In addition, on August 21, 2020, the Company’s board of directors awarded Mr. Hagopian an option to purchase 15,000 shares of the Company’s Class A common stock at an exercise price of $4.46 per share. Subject to his continued employment, the option will vest with respect to 25% of the shares on the first anniversary of the date of grant, with the remaining shares vesting annually on each of the next three anniversaries of the date of grant, such that the option will be fully vested on the fourth anniversary of the date of grant. </w:t></w:r></w:p><w:p><w:pPr><w:jc w:val="start"/><w:ind w:left="0" w:right="0" w:firstLine="0" w:hanging="0"/><w:spacing w:before="240" w:after="0"/></w:pPr><w:r><w:rPr><w:rFonts w:ascii="Times New Roman" w:hAnsi="Times New Roman" w:eastAsia="Times New Roman" w:cs="Times New Roman"/><w:sz w:val="20"/><w:szCs w:val="20"/></w:rPr><w:t xml:space="preserve">Mr. Hagopian previously served as the Company’s Assistant Vice President and Treasurer since January 2017 and prior to that served as the Company’s Corporate Controller from October 2007 through December 2016. Prior to joining the Company, Mr. Hagopian served as Assistant Controller and Treasury Manager of CIRCOR International, Inc. from 2005 to 2007 and as Assistant Controller of Stratus Technologies from 2003 to 2005. Prior to joining Stratus, Mr. Hagopian held positions of increasing responsibility with Lucent Technologies finance organization, including the restructuring and spin-out from AT&T. Mr. Hagopian holds an M.B.A. in Management and an M.S. in Accounting from Boston College’s Carroll Graduate School of Management and a B.S. in Economics and Finance from Farleigh Dickinson University. </w:t></w:r></w:p><w:p><w:pPr><w:jc w:val="start"/><w:ind w:left="0" w:right="0" w:firstLine="0" w:hanging="0"/><w:spacing w:before="240" w:after="0"/></w:pPr><w:r><w:rPr><w:rFonts w:ascii="Times New Roman" w:hAnsi="Times New Roman" w:eastAsia="Times New Roman" w:cs="Times New Roman"/><w:sz w:val="20"/><w:szCs w:val="20"/></w:rPr><w:t xml:space="preserve">On August 18, 2020, Timothy M. Cunningham notified the Company of his resignation as Chief Financial Officer, effective immediately. </w:t></w:r></w:p><w:p><w:pPr><w:jc w:val="start"/><w:ind w:left="0" w:right="0" w:firstLine="0" w:hanging="0"/><w:spacing w:before="240" w:after="0"/></w:pPr><w:r><w:rPr><w:rFonts w:ascii="Times New Roman" w:hAnsi="Times New Roman" w:eastAsia="Times New Roman" w:cs="Times New Roman"/><w:sz w:val="20"/><w:szCs w:val="20"/></w:rPr><w:t xml:space="preserve">In connection with Mr. Cunningham’s resignation, the Company entered into a separation letter agreement with Mr. Cunningham on August 24, 2020 (the “Separation Agreement”). Pursuant to the terms of the Separation Agreement, Mr. Cunningham is entitled to receive the following severance from the Company: (i) $175,000, which represents </w:t></w:r><w:r><w:rPr><w:rFonts w:ascii="Times New Roman" w:hAnsi="Times New Roman" w:eastAsia="Times New Roman" w:cs="Times New Roman"/><w:sz w:val="20"/><w:szCs w:val="20"/></w:rPr><w:t xml:space="preserve">one-half of</w:t></w:r><w:r><w:rPr><w:rFonts w:ascii="Times New Roman" w:hAnsi="Times New Roman" w:eastAsia="Times New Roman" w:cs="Times New Roman"/><w:sz w:val="20"/><w:szCs w:val="20"/></w:rPr><w:t xml:space="preserve"> his base salary and is payable as salary continuation for six (6) months; (ii) $96,250, which represents </w:t></w:r><w:r><w:rPr><w:rFonts w:ascii="Times New Roman" w:hAnsi="Times New Roman" w:eastAsia="Times New Roman" w:cs="Times New Roman"/><w:sz w:val="20"/><w:szCs w:val="20"/></w:rPr><w:t xml:space="preserve">one-half of</w:t></w:r><w:r><w:rPr><w:rFonts w:ascii="Times New Roman" w:hAnsi="Times New Roman" w:eastAsia="Times New Roman" w:cs="Times New Roman"/><w:sz w:val="20"/><w:szCs w:val="20"/></w:rPr><w:t xml:space="preserve"> his target bonus for 2020; (iii) a payment of $22,203; (iv) continuation of certain benefit coverage for six (6) months; (v) executive outplacement services with a mutually agreeable outplacement provider for up to one (1) year; and (vi) accelerated vesting with respect to 111,924 shares of the Company’s Class A common stock that otherwise would have vested on August 22, 2020 pursuant to a stock option that the Company granted to Mr. Cunningham. The Separation Agreement includes a general release by Mr. Cunningham of any claims against the Company. The description of the Separation Agreement contained herein is qualified in its entirety by reference to the full text of the Separation Agreement, which is attached as Exhibit 10.1 hereto and incorporated herein by reference. </w:t></w:r></w:p><w:p><w:pPr><w:jc w:val="start"/><w:ind w:left="0" w:right="0" w:firstLine="0" w:hanging="0"/><w:spacing w:before="240" w:after="0"/></w:pPr><w:r><w:rPr><w:rFonts w:ascii="Times New Roman" w:hAnsi="Times New Roman" w:eastAsia="Times New Roman" w:cs="Times New Roman"/><w:sz w:val="20"/><w:szCs w:val="20"/></w:rPr><w:t xml:space="preserve">In connection with this management change, the Company issued a press release on August 24, 2020, a copy of which is filed herewith as Exhibit 99.1 and is incorporated herein by reference. </w:t></w:r></w:p><w:p><w:pPr><w:jc w:val="start"/><w:spacing w:before="0" w:after="0"/></w:pPr><w:r><w:rPr><w:sz w:val="24"/><w:szCs w:val="24"/></w:rPr><w:t xml:space="preserve"> </w:t></w:r></w:p><w:tbl><w:tblGrid><w:gridCol w:w="550" w:type="dxa"/><w:gridCol w:w="5000" w:type="dxa"/></w:tblGrid><w:tblPr><w:tblW w:w="5000" w:type="pct"/><w:tblCellSpacing w:w="0" w:type="dxa"/><w:tblLayout w:type="autofit"/></w:tblPr><w:tr><w:trPr/><w:tc><w:tcPr><w:tcW w:w="550" w:type="pct"/><w:vAlign w:val="top"/><w:noWrap/></w:tcPr><w:p><w:pPr><w:jc w:val="start"/></w:pPr><w:r><w:rPr><w:rFonts w:ascii="Times New Roman" w:hAnsi="Times New Roman" w:eastAsia="Times New Roman" w:cs="Times New Roman"/><w:sz w:val="20"/><w:szCs w:val="20"/><w:b w:val="1"/><w:bCs w:val="1"/></w:rPr><w:t xml:space="preserve">Item 9.01</w:t></w:r></w:p></w:tc><w:tc><w:tcPr><w:tcW w:w="5000" w:type="pct"/><w:vAlign w:val="top"/><w:noWrap/></w:tcPr><w:p><w:pPr><w:jc w:val="start"/><w:spacing w:before="0" w:after="0"/></w:pPr><w:r><w:rPr><w:rFonts w:ascii="Times New Roman" w:hAnsi="Times New Roman" w:eastAsia="Times New Roman" w:cs="Times New Roman"/><w:sz w:val="20"/><w:szCs w:val="20"/><w:b w:val="1"/><w:bCs w:val="1"/></w:rPr><w:t xml:space="preserve">Financial Statements and Exhibits. </w:t></w:r></w:p></w:tc></w:tr></w:tbl><w:p><w:pPr><w:jc w:val="start"/><w:spacing w:before="0" w:after="0"/></w:pPr><w:r><w:rPr><w:sz w:val="12"/><w:szCs w:val="12"/></w:rPr><w:t xml:space="preserve"> </w:t></w:r></w:p><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(d)</w:t></w:r></w:p></w:tc><w:tc><w:tcPr><w:tcW w:w="5000" w:type="pct"/><w:vAlign w:val="top"/><w:noWrap/></w:tcPr><w:p><w:pPr><w:jc w:val="start"/><w:spacing w:before="0" w:after="0"/></w:pPr><w:r><w:rPr><w:rFonts w:ascii="Times New Roman" w:hAnsi="Times New Roman" w:eastAsia="Times New Roman" w:cs="Times New Roman"/><w:sz w:val="20"/><w:szCs w:val="20"/><w:u w:val="single"/></w:rPr><w:t xml:space="preserve">Exhibits</w:t></w:r><w:r><w:rPr><w:rFonts w:ascii="Times New Roman" w:hAnsi="Times New Roman" w:eastAsia="Times New Roman" w:cs="Times New Roman"/><w:sz w:val="20"/><w:szCs w:val="20"/></w:rPr><w:t xml:space="preserve">. </w:t></w:r></w:p></w:tc></w:tr></w:tbl><w:p><w:pPr><w:jc w:val="start"/><w:spacing w:before="0" w:after="0"/></w:pPr><w:r><w:rPr><w:sz w:val="24"/><w:szCs w:val="24"/></w:rPr><w:t xml:space="preserve"> </w:t></w:r></w:p><w:tbl><w:tblGrid><w:gridCol w:w="5000" w:type="dxa"/><w:gridCol w:w="250" w:type="dxa"/><w:gridCol w:w="4600" w:type="dxa"/></w:tblGrid><w:tblPr><w:tblW w:w="5000" w:type="pct"/><w:tblCellSpacing w:w="0" w:type="dxa"/><w:tblLayout w:type="autofit"/></w:tblPr><w:tr><w:trPr/><w:tc><w:tcPr><w:tcW w:w="5000" w:type="pct"/><w:noWrap/></w:tcPr><w:p><w:pPr/></w:p></w:tc><w:tc><w:tcPr><w:tcW w:w="250" w:type="pct"/><w:vAlign w:val="bottom"/><w:noWrap/></w:tcPr><w:p><w:pPr/></w:p></w:tc><w:tc><w:tcPr><w:tcW w:w="4600" w:type="pct"/><w:noWrap/></w:tcPr><w:p><w:pPr/></w:p></w:tc></w:tr><w:tr><w:trPr/><w:tc><w:tcPr><w:tcW w:w="5000" w:type="pct"/><w:vAlign w:val="bottom"/><w:noWrap/></w:tcPr><w:p><w:pPr><w:jc w:val="center"/><w:spacing w:before="0" w:after="0"/></w:pPr><w:r><w:rPr><w:rFonts w:ascii="Times New Roman" w:hAnsi="Times New Roman" w:eastAsia="Times New Roman" w:cs="Times New Roman"/><w:sz w:val="16"/><w:szCs w:val="16"/><w:b w:val="1"/><w:bCs w:val="1"/></w:rPr><w:t xml:space="preserve">Exhibit</w:t></w:r></w:p><w:p><w:pPr><w:jc w:val="center"/><w:spacing w:before="0" w:after="20"/></w:pPr><w:r><w:rPr><w:rFonts w:ascii="Times New Roman" w:hAnsi="Times New Roman" w:eastAsia="Times New Roman" w:cs="Times New Roman"/><w:sz w:val="16"/><w:szCs w:val="16"/><w:b w:val="1"/><w:bCs w:val="1"/></w:rPr><w:t xml:space="preserve">Number</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b w:val="1"/><w:bCs w:val="1"/></w:rPr><w:t xml:space="preserve">Exhibit Description</w:t></w:r></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7" w:history="1"><w:r><w:rPr/><w:t xml:space="preserve">Separation Letter Agreement, dated August 24, 2020, between Organogenesis Holdings Inc. and Timothy M. Cunningham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99.1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8" w:history="1"><w:r><w:rPr/><w:t xml:space="preserve">Press release dated August 24, 2020, entitled “Organogenesis Holdings Inc. Announces Management Change” </w:t></w:r></w:hyperlink></w:p></w:tc></w:tr></w:tbl><w:p><w:pPr><w:spacing w:before="0" w:after="0"/></w:pPr><w:r><w:rPr/><w:t xml:space="preserve"> </w:t></w:r></w:p><w:p><w:pPr><w:spacing w:before="120" w:after="120" w:line="240" w:lineRule="auto"/><w:pBdr><w:bottom w:val="single" w:sz="1" w:color="999999"/></w:pBdr></w:pPr><w:r><w:rPr><w:color w:val="999999"/><w:sz w:val="6"/><w:szCs w:val="6"/></w:rPr><w:t xml:space="preserve"></w:t></w:r></w:p><w:p><w:pPr><w:jc w:val="center"/><w:spacing w:before="0" w:after="0"/></w:pPr><w:r><w:rPr><w:rFonts w:ascii="Times New Roman" w:hAnsi="Times New Roman" w:eastAsia="Times New Roman" w:cs="Times New Roman"/><w:sz w:val="20"/><w:szCs w:val="20"/><w:b w:val="1"/><w:bCs w:val="1"/></w:rPr><w:t xml:space="preserve">SIGNATURE </w:t></w:r></w:p><w:p><w:pPr><w:jc w:val="start"/><w:spacing w:before="240" w:after="0"/></w:pPr><w:r><w:rPr><w:rFonts w:ascii="Times New Roman" w:hAnsi="Times New Roman" w:eastAsia="Times New Roman" w:cs="Times New Roman"/><w:sz w:val="20"/><w:szCs w:val="20"/></w:rPr><w:t xml:space="preserve">Pursuant to the requirements of the Securities Exchange Act of 1934, as amended, the registrant has duly caused this report to be signed on its behalf by the undersigned hereunto duly authorized. </w:t></w:r></w:p><w:p><w:pPr><w:jc w:val="start"/><w:spacing w:before="0" w:after="0"/></w:pPr><w:r><w:rPr><w:sz w:val="24"/><w:szCs w:val="24"/></w:rPr><w:t xml:space="preserve"> </w:t></w:r></w:p><w:tbl><w:tblGrid><w:gridCol w:w="600" w:type="dxa"/><w:gridCol w:w="50" w:type="dxa"/><w:gridCol w:w="4350" w:type="dxa"/></w:tblGrid><w:tblPr><w:tblW w:w="2000" w:type="pct"/><w:tblCellSpacing w:w="0" w:type="dxa"/><w:tblLayout w:type="autofit"/></w:tblPr><w:tr><w:trPr/><w:tc><w:tcPr><w:tcW w:w="600" w:type="pct"/><w:noWrap/></w:tcPr><w:p><w:pPr/></w:p></w:tc><w:tc><w:tcPr><w:tcW w:w="50" w:type="pct"/><w:vAlign w:val="bottom"/><w:noWrap/></w:tcPr><w:p><w:pPr/></w:p></w:tc><w:tc><w:tcPr><w:tcW w:w="4350" w:type="pct"/><w:noWrap/></w:tcPr><w:p><w:pPr/></w:p></w:tc></w:tr><w:tr><w:trPr/><w:tc><w:tcPr><w:tcW w:w="2000" w:type="pct"/><w:vAlign w:val="top"/><w:gridSpan w:val="3"/><w:noWrap/></w:tcPr><w:p><w:pPr/><w:r><w:rPr><w:rFonts w:ascii="Times New Roman" w:hAnsi="Times New Roman" w:eastAsia="Times New Roman" w:cs="Times New Roman"/><w:sz w:val="20"/><w:szCs w:val="20"/></w:rPr><w:t xml:space="preserve">Organogenesis Holdings Inc.</w:t></w:r></w:p></w:tc></w:tr><w:tr><w:trPr/><w:tc><w:tcPr><w:tcW w:w="2000" w:type="pct"/><w:noWrap/></w:tcPr><w:p><w:pPr/></w:p></w:tc><w:tc><w:tcPr><w:tcW w:w="2000" w:type="pct"/><w:gridSpan w:val="2"/><w:noWrap/></w:tcPr><w:p><w:pPr/></w:p></w:tc></w:tr><w:tr><w:trPr/><w:tc><w:tcPr><w:tcW w:w="2000" w:type="pct"/><w:vAlign w:val="bottom"/><w:noWrap/></w:tcPr><w:p><w:pPr/><w:r><w:rPr><w:rFonts w:ascii="Times New Roman" w:hAnsi="Times New Roman" w:eastAsia="Times New Roman" w:cs="Times New Roman"/><w:sz w:val="20"/><w:szCs w:val="20"/></w:rPr><w:t xml:space="preserve">By:</w:t></w:r></w:p></w:tc><w:tc><w:tcPr><w:tcW w:w="2000" w:type="pct"/><w:vAlign w:val="bottom"/><w:noWrap/></w:tcPr><w:p><w:pPr/><w:r><w:rPr><w:rFonts w:ascii="Times New Roman" w:hAnsi="Times New Roman" w:eastAsia="Times New Roman" w:cs="Times New Roman"/><w:sz w:val="20"/><w:szCs w:val="20"/></w:rPr><w:t xml:space="preserve"> </w:t></w:r></w:p></w:tc><w:tc><w:tcPr><w:tcW w:w="2000" w:type="pct"/><w:vAlign w:val="bottom"/><w:noWrap/></w:tcPr><w:p><w:pPr><w:jc w:val="start"/><w:spacing w:before="0" w:after="20"/></w:pPr><w:r><w:rPr><w:rFonts w:ascii="Times New Roman" w:hAnsi="Times New Roman" w:eastAsia="Times New Roman" w:cs="Times New Roman"/><w:sz w:val="20"/><w:szCs w:val="20"/></w:rPr><w:t xml:space="preserve">/s/ Lori Freedman</w:t></w:r></w:p></w:tc></w:tr><w:tr><w:trPr/><w:tc><w:tcPr><w:tcW w:w="2000" w:type="pct"/><w:vAlign w:val="bottom"/><w:noWrap/></w:tcPr><w:p><w:pPr/><w:r><w:rPr><w:rFonts w:ascii="Times New Roman" w:hAnsi="Times New Roman" w:eastAsia="Times New Roman" w:cs="Times New Roman"/><w:sz w:val="20"/><w:szCs w:val="20"/></w:rPr><w:t xml:space="preserve">Name:</w:t></w:r></w:p></w:tc><w:tc><w:tcPr><w:tcW w:w="2000" w:type="pct"/><w:vAlign w:val="bottom"/><w:noWrap/></w:tcPr><w:p><w:pPr/><w:r><w:rPr><w:rFonts w:ascii="Times New Roman" w:hAnsi="Times New Roman" w:eastAsia="Times New Roman" w:cs="Times New Roman"/><w:sz w:val="20"/><w:szCs w:val="20"/></w:rPr><w:t xml:space="preserve"> </w:t></w:r></w:p></w:tc><w:tc><w:tcPr><w:tcW w:w="2000" w:type="pct"/><w:vAlign w:val="bottom"/><w:noWrap/></w:tcPr><w:p><w:pPr/><w:r><w:rPr><w:rFonts w:ascii="Times New Roman" w:hAnsi="Times New Roman" w:eastAsia="Times New Roman" w:cs="Times New Roman"/><w:sz w:val="20"/><w:szCs w:val="20"/></w:rPr><w:t xml:space="preserve">Lori Freedman</w:t></w:r></w:p></w:tc></w:tr><w:tr><w:trPr/><w:tc><w:tcPr><w:tcW w:w="2000" w:type="pct"/><w:vAlign w:val="bottom"/><w:noWrap/></w:tcPr><w:p><w:pPr/><w:r><w:rPr><w:rFonts w:ascii="Times New Roman" w:hAnsi="Times New Roman" w:eastAsia="Times New Roman" w:cs="Times New Roman"/><w:sz w:val="20"/><w:szCs w:val="20"/></w:rPr><w:t xml:space="preserve">Title:</w:t></w:r></w:p></w:tc><w:tc><w:tcPr><w:tcW w:w="2000" w:type="pct"/><w:vAlign w:val="bottom"/><w:noWrap/></w:tcPr><w:p><w:pPr/><w:r><w:rPr><w:rFonts w:ascii="Times New Roman" w:hAnsi="Times New Roman" w:eastAsia="Times New Roman" w:cs="Times New Roman"/><w:sz w:val="20"/><w:szCs w:val="20"/></w:rPr><w:t xml:space="preserve"> </w:t></w:r></w:p></w:tc><w:tc><w:tcPr><w:tcW w:w="2000" w:type="pct"/><w:vAlign w:val="bottom"/><w:noWrap/></w:tcPr><w:p><w:pPr/><w:r><w:rPr><w:rFonts w:ascii="Times New Roman" w:hAnsi="Times New Roman" w:eastAsia="Times New Roman" w:cs="Times New Roman"/><w:sz w:val="20"/><w:szCs w:val="20"/></w:rPr><w:t xml:space="preserve">Vice President and General Counsel</w:t></w:r></w:p></w:tc></w:tr></w:tbl><w:p><w:pPr><w:jc w:val="start"/><w:spacing w:before="240" w:after="0"/></w:pPr><w:r><w:rPr><w:rFonts w:ascii="Times New Roman" w:hAnsi="Times New Roman" w:eastAsia="Times New Roman" w:cs="Times New Roman"/><w:sz w:val="20"/><w:szCs w:val="20"/></w:rPr><w:t xml:space="preserve">Date: August 24, 2020 </w:t></w:r></w:p><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891699dex101.htm" TargetMode="External"/><Relationship Id="rId8" Type="http://schemas.openxmlformats.org/officeDocument/2006/relationships/hyperlink" Target="d891699dex99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2026-08-07T12:19:22-04:00</dcterms:created>
  <dcterms:modified xsi:type="dcterms:W3CDTF">2026-08-07T12:19:22-04:00</dcterms:modified>
</cp:coreProperties>
</file>

<file path=docProps/custom.xml><?xml version="1.0" encoding="utf-8"?>
<Properties xmlns="http://schemas.openxmlformats.org/officeDocument/2006/custom-properties" xmlns:vt="http://schemas.openxmlformats.org/officeDocument/2006/docPropsVTypes"/>
</file>