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vanish w:val="1"/>
        </w:rPr>
        <w:t xml:space="preserve">  </w:t>
      </w:r>
    </w:p>
    <w:p>
      <w:pPr>
        <w:jc w:val="start"/>
        <w:spacing w:before="0" w:after="0" w:line="20" w:lineRule="exact"/>
      </w:pPr>
      <w:r>
        <w:rPr/>
        <w:t xml:space="preserve"> </w:t>
      </w:r>
    </w:p>
    <w:p>
      <w:pPr>
        <w:jc w:val="start"/>
        <w:spacing w:before="0" w:after="40" w:line="60" w:lineRule="exac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w:t>
      </w:r>
    </w:p>
    <w:p>
      <w:pPr>
        <w:jc w:val="center"/>
        <w:spacing w:before="0" w:after="0"/>
      </w:pPr>
      <w:r>
        <w:rPr>
          <w:rFonts w:ascii="Times New Roman" w:hAnsi="Times New Roman" w:eastAsia="Times New Roman" w:cs="Times New Roman"/>
          <w:sz w:val="36"/>
          <w:szCs w:val="36"/>
          <w:b w:val="1"/>
          <w:bCs w:val="1"/>
        </w:rPr>
        <w:t xml:space="preserve">SECURITIES AND EXCHANGE COMMISSION</w:t>
      </w:r>
    </w:p>
    <w:p>
      <w:pPr>
        <w:jc w:val="center"/>
        <w:spacing w:before="0" w:after="0"/>
      </w:pPr>
      <w:r>
        <w:rPr>
          <w:rFonts w:ascii="Times New Roman" w:hAnsi="Times New Roman" w:eastAsia="Times New Roman" w:cs="Times New Roman"/>
          <w:sz w:val="24"/>
          <w:szCs w:val="24"/>
          <w:b w:val="1"/>
          <w:bCs w:val="1"/>
        </w:rPr>
        <w:t xml:space="preserve">Washington, D.C. 20549</w:t>
      </w:r>
    </w:p>
    <w:p>
      <w:pPr>
        <w:jc w:val="start"/>
        <w:spacing w:before="0" w:after="0"/>
      </w:pPr>
      <w:r>
        <w:rPr>
          <w:sz w:val="20"/>
          <w:szCs w:val="20"/>
        </w:rPr>
        <w:t xml:space="preserve"> </w:t>
      </w:r>
    </w:p>
    <w:p>
      <w:pPr>
        <w:jc w:val="center"/>
        <w:spacing w:before="0" w:after="40" w:line="120" w:lineRule="exact"/>
      </w:pPr>
      <w:r>
        <w:rPr/>
        <w:t xml:space="preserve"> </w:t>
      </w:r>
    </w:p>
    <w:p>
      <w:pPr>
        <w:jc w:val="center"/>
        <w:spacing w:before="200" w:after="0"/>
      </w:pPr>
      <w:r>
        <w:rPr>
          <w:rFonts w:ascii="Times New Roman" w:hAnsi="Times New Roman" w:eastAsia="Times New Roman" w:cs="Times New Roman"/>
          <w:sz w:val="36"/>
          <w:szCs w:val="36"/>
          <w:b w:val="1"/>
          <w:bCs w:val="1"/>
        </w:rPr>
        <w:t xml:space="preserve">FORM </w:t>
      </w:r>
      <w:r>
        <w:rPr>
          <w:rFonts w:ascii="Times New Roman" w:hAnsi="Times New Roman" w:eastAsia="Times New Roman" w:cs="Times New Roman"/>
          <w:sz w:val="36"/>
          <w:szCs w:val="36"/>
          <w:b w:val="1"/>
          <w:bCs w:val="1"/>
        </w:rPr>
        <w:t xml:space="preserve">8-K</w:t>
      </w:r>
    </w:p>
    <w:p>
      <w:pPr>
        <w:jc w:val="start"/>
        <w:spacing w:before="0" w:after="0"/>
      </w:pPr>
      <w:r>
        <w:rPr>
          <w:sz w:val="20"/>
          <w:szCs w:val="20"/>
        </w:rPr>
        <w:t xml:space="preserve"> </w:t>
      </w:r>
    </w:p>
    <w:p>
      <w:pPr>
        <w:jc w:val="center"/>
        <w:spacing w:before="0" w:after="40" w:line="120" w:lineRule="exact"/>
      </w:pPr>
      <w:r>
        <w:rPr/>
        <w:t xml:space="preserve"> </w:t>
      </w:r>
    </w:p>
    <w:p>
      <w:pPr>
        <w:jc w:val="center"/>
        <w:spacing w:before="200" w:after="0"/>
      </w:pPr>
      <w:r>
        <w:rPr>
          <w:rFonts w:ascii="Times New Roman" w:hAnsi="Times New Roman" w:eastAsia="Times New Roman" w:cs="Times New Roman"/>
          <w:sz w:val="24"/>
          <w:szCs w:val="24"/>
          <w:b w:val="1"/>
          <w:bCs w:val="1"/>
        </w:rPr>
        <w:t xml:space="preserve">CURRENT REPORT</w:t>
      </w:r>
    </w:p>
    <w:p>
      <w:pPr>
        <w:jc w:val="center"/>
        <w:spacing w:before="0" w:after="0"/>
      </w:pPr>
      <w:r>
        <w:rPr>
          <w:rFonts w:ascii="Times New Roman" w:hAnsi="Times New Roman" w:eastAsia="Times New Roman" w:cs="Times New Roman"/>
          <w:sz w:val="24"/>
          <w:szCs w:val="24"/>
          <w:b w:val="1"/>
          <w:bCs w:val="1"/>
        </w:rPr>
        <w:t xml:space="preserve">Pursuant to Section 13 or 15(d)</w:t>
      </w:r>
    </w:p>
    <w:p>
      <w:pPr>
        <w:jc w:val="center"/>
        <w:spacing w:before="0" w:after="0"/>
      </w:pPr>
      <w:r>
        <w:rPr>
          <w:rFonts w:ascii="Times New Roman" w:hAnsi="Times New Roman" w:eastAsia="Times New Roman" w:cs="Times New Roman"/>
          <w:sz w:val="24"/>
          <w:szCs w:val="24"/>
          <w:b w:val="1"/>
          <w:bCs w:val="1"/>
        </w:rPr>
        <w:t xml:space="preserve">of the Securities Exchange Act of 1934</w:t>
      </w:r>
    </w:p>
    <w:p>
      <w:pPr>
        <w:jc w:val="center"/>
        <w:spacing w:before="200" w:after="0"/>
      </w:pPr>
      <w:r>
        <w:rPr>
          <w:rFonts w:ascii="Times New Roman" w:hAnsi="Times New Roman" w:eastAsia="Times New Roman" w:cs="Times New Roman"/>
          <w:sz w:val="24"/>
          <w:szCs w:val="24"/>
          <w:b w:val="1"/>
          <w:bCs w:val="1"/>
        </w:rPr>
        <w:t xml:space="preserve">Date of Report (Date of Earliest Event Reported): September 15, 2020</w:t>
      </w:r>
    </w:p>
    <w:p>
      <w:pPr>
        <w:jc w:val="start"/>
        <w:spacing w:before="0" w:after="0"/>
      </w:pPr>
      <w:r>
        <w:rPr>
          <w:sz w:val="20"/>
          <w:szCs w:val="20"/>
        </w:rPr>
        <w:t xml:space="preserve"> </w:t>
      </w:r>
    </w:p>
    <w:p>
      <w:pPr>
        <w:jc w:val="center"/>
        <w:spacing w:before="0" w:after="40" w:line="120" w:lineRule="exact"/>
      </w:pPr>
      <w:r>
        <w:rPr/>
        <w:t xml:space="preserve"> </w:t>
      </w:r>
    </w:p>
    <w:p>
      <w:pPr>
        <w:jc w:val="center"/>
        <w:spacing w:before="200" w:after="0"/>
      </w:pPr>
      <w:r>
        <w:rPr>
          <w:rFonts w:ascii="Times New Roman" w:hAnsi="Times New Roman" w:eastAsia="Times New Roman" w:cs="Times New Roman"/>
          <w:sz w:val="48"/>
          <w:szCs w:val="48"/>
          <w:b w:val="1"/>
          <w:bCs w:val="1"/>
        </w:rPr>
        <w:t xml:space="preserve"> 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w:t>
      </w:r>
    </w:p>
    <w:p>
      <w:pPr>
        <w:jc w:val="start"/>
        <w:spacing w:before="0" w:after="0"/>
      </w:pPr>
      <w:r>
        <w:rPr>
          <w:sz w:val="20"/>
          <w:szCs w:val="20"/>
        </w:rPr>
        <w:t xml:space="preserve"> </w:t>
      </w:r>
    </w:p>
    <w:p>
      <w:pPr>
        <w:jc w:val="center"/>
        <w:spacing w:before="0" w:after="40" w:line="120" w:lineRule="exact"/>
      </w:pPr>
      <w:r>
        <w:rPr/>
        <w:t xml:space="preserve"> </w:t>
      </w:r>
    </w:p>
    <w:p>
      <w:pPr>
        <w:jc w:val="start"/>
        <w:spacing w:before="0" w:after="0"/>
      </w:pPr>
      <w:r>
        <w:rPr>
          <w:sz w:val="20"/>
          <w:szCs w:val="20"/>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bl>
    <w:p>
      <w:pPr>
        <w:jc w:val="start"/>
        <w:spacing w:before="0" w:after="0"/>
      </w:pPr>
      <w:r>
        <w:rPr>
          <w:sz w:val="20"/>
          <w:szCs w:val="20"/>
        </w:rPr>
        <w:t xml:space="preserve"> </w:t>
      </w:r>
    </w:p>
    <w:tbl>
      <w:tblGrid>
        <w:gridCol w:w="2500" w:type="dxa"/>
        <w:gridCol w:w="50" w:type="dxa"/>
        <w:gridCol w:w="2400" w:type="dxa"/>
      </w:tblGrid>
      <w:tblPr>
        <w:tblW w:w="5000" w:type="pct"/>
        <w:tblCellSpacing w:w="0" w:type="dxa"/>
        <w:tblLayout w:type="autofit"/>
      </w:tblPr>
      <w:tr>
        <w:trPr/>
        <w:tc>
          <w:tcPr>
            <w:tcW w:w="2500" w:type="pct"/>
            <w:noWrap/>
          </w:tcPr>
          <w:p>
            <w:pPr/>
          </w:p>
        </w:tc>
        <w:tc>
          <w:tcPr>
            <w:tcW w:w="50" w:type="pct"/>
            <w:vAlign w:val="bottom"/>
            <w:noWrap/>
          </w:tcPr>
          <w:p>
            <w:pPr/>
          </w:p>
        </w:tc>
        <w:tc>
          <w:tcPr>
            <w:tcW w:w="2400" w:type="pct"/>
            <w:noWrap/>
          </w:tcPr>
          <w:p>
            <w:pPr/>
          </w:p>
        </w:tc>
      </w:tr>
      <w:tr>
        <w:trPr/>
        <w:tc>
          <w:tcPr>
            <w:tcW w:w="5000" w:type="pct"/>
            <w:vAlign w:val="top"/>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200" w:after="0"/>
      </w:pPr>
      <w:r>
        <w:rPr>
          <w:rFonts w:ascii="Times New Roman" w:hAnsi="Times New Roman" w:eastAsia="Times New Roman" w:cs="Times New Roman"/>
          <w:sz w:val="20"/>
          <w:szCs w:val="20"/>
          <w:b w:val="1"/>
          <w:bCs w:val="1"/>
        </w:rPr>
        <w:t xml:space="preserve">(781) </w:t>
      </w:r>
      <w:r>
        <w:rPr>
          <w:rFonts w:ascii="Times New Roman" w:hAnsi="Times New Roman" w:eastAsia="Times New Roman" w:cs="Times New Roman"/>
          <w:sz w:val="20"/>
          <w:szCs w:val="20"/>
          <w:b w:val="1"/>
          <w:bCs w:val="1"/>
        </w:rPr>
        <w:t xml:space="preserve">575-0775</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w:t>
      </w:r>
    </w:p>
    <w:p>
      <w:pPr>
        <w:jc w:val="center"/>
        <w:spacing w:before="200" w:after="0"/>
      </w:pPr>
      <w:r>
        <w:rPr>
          <w:rFonts w:ascii="Times New Roman" w:hAnsi="Times New Roman" w:eastAsia="Times New Roman" w:cs="Times New Roman"/>
          <w:sz w:val="20"/>
          <w:szCs w:val="20"/>
          <w:b w:val="1"/>
          <w:bCs w:val="1"/>
        </w:rPr>
        <w:t xml:space="preserve">Not Applicable</w:t>
      </w:r>
    </w:p>
    <w:p>
      <w:pPr>
        <w:jc w:val="center"/>
        <w:spacing w:before="0" w:after="0"/>
      </w:pPr>
      <w:r>
        <w:rPr>
          <w:rFonts w:ascii="Times New Roman" w:hAnsi="Times New Roman" w:eastAsia="Times New Roman" w:cs="Times New Roman"/>
          <w:sz w:val="16"/>
          <w:szCs w:val="16"/>
          <w:b w:val="1"/>
          <w:bCs w:val="1"/>
        </w:rPr>
        <w:t xml:space="preserve">(Registrant’s name or former address, if change since last report)</w:t>
      </w:r>
    </w:p>
    <w:p>
      <w:pPr>
        <w:jc w:val="start"/>
        <w:spacing w:before="0" w:after="0"/>
      </w:pPr>
      <w:r>
        <w:rPr>
          <w:sz w:val="20"/>
          <w:szCs w:val="20"/>
        </w:rPr>
        <w:t xml:space="preserve"> </w:t>
      </w:r>
    </w:p>
    <w:p>
      <w:pPr>
        <w:jc w:val="center"/>
        <w:spacing w:before="0" w:after="40" w:line="120" w:lineRule="exact"/>
      </w:pPr>
      <w:r>
        <w:rPr/>
        <w:t xml:space="preserve"> </w:t>
      </w:r>
    </w:p>
    <w:p>
      <w:pPr>
        <w:jc w:val="start"/>
        <w:spacing w:before="200" w:after="0"/>
      </w:pPr>
      <w:r>
        <w:rPr>
          <w:rFonts w:ascii="Times New Roman" w:hAnsi="Times New Roman" w:eastAsia="Times New Roman" w:cs="Times New Roman"/>
          <w:sz w:val="20"/>
          <w:szCs w:val="20"/>
        </w:rPr>
        <w:t xml:space="preserve">Check the appropriate box below if the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filing is intended to simultaneously satisfy the filing obligation of the registrant under any of the following provisions:</w:t>
      </w:r>
    </w:p>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w:t>
            </w:r>
            <w:r>
              <w:rPr>
                <w:rFonts w:ascii="Times New Roman" w:hAnsi="Times New Roman" w:eastAsia="Times New Roman" w:cs="Times New Roman"/>
                <w:sz w:val="20"/>
                <w:szCs w:val="20"/>
              </w:rPr>
              <w:t xml:space="preserve">14a-12</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240.14a-12)</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14d-2(b)</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240.14d-2(b))</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13e-4(c)</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240.13e-4(c))</w:t>
            </w:r>
          </w:p>
        </w:tc>
      </w:tr>
    </w:tbl>
    <w:p>
      <w:pPr>
        <w:jc w:val="start"/>
        <w:ind w:left="0" w:right="0" w:firstLine="0" w:hanging="0"/>
        <w:spacing w:before="200" w:after="0"/>
      </w:pPr>
      <w:r>
        <w:rPr>
          <w:rFonts w:ascii="Times New Roman" w:hAnsi="Times New Roman" w:eastAsia="Times New Roman" w:cs="Times New Roman"/>
          <w:sz w:val="20"/>
          <w:szCs w:val="20"/>
        </w:rPr>
        <w:t xml:space="preserve">Securities registered pursuant to Section 12(b) of the Act:</w:t>
      </w:r>
    </w:p>
    <w:p>
      <w:pPr>
        <w:jc w:val="start"/>
        <w:spacing w:before="0" w:after="0"/>
      </w:pPr>
      <w:r>
        <w:rPr>
          <w:sz w:val="20"/>
          <w:szCs w:val="20"/>
        </w:rPr>
        <w:t xml:space="preserve"> </w:t>
      </w:r>
    </w:p>
    <w:tbl>
      <w:tblGrid>
        <w:gridCol w:w="1750" w:type="dxa"/>
        <w:gridCol w:w="50" w:type="dxa"/>
        <w:gridCol w:w="1600" w:type="dxa"/>
        <w:gridCol w:w="50" w:type="dxa"/>
        <w:gridCol w:w="1550" w:type="dxa"/>
      </w:tblGrid>
      <w:tblPr>
        <w:tblW w:w="5000" w:type="pct"/>
        <w:tblCellSpacing w:w="0" w:type="dxa"/>
        <w:tblLayout w:type="autofit"/>
      </w:tblPr>
      <w:tr>
        <w:trPr/>
        <w:tc>
          <w:tcPr>
            <w:tcW w:w="1750" w:type="pct"/>
            <w:noWrap/>
          </w:tcPr>
          <w:p>
            <w:pPr/>
          </w:p>
        </w:tc>
        <w:tc>
          <w:tcPr>
            <w:tcW w:w="50" w:type="pct"/>
            <w:vAlign w:val="bottom"/>
            <w:noWrap/>
          </w:tcPr>
          <w:p>
            <w:pPr/>
          </w:p>
        </w:tc>
        <w:tc>
          <w:tcPr>
            <w:tcW w:w="1600" w:type="pct"/>
            <w:noWrap/>
          </w:tcPr>
          <w:p>
            <w:pPr/>
          </w:p>
        </w:tc>
        <w:tc>
          <w:tcPr>
            <w:tcW w:w="50" w:type="pct"/>
            <w:vAlign w:val="bottom"/>
            <w:noWrap/>
          </w:tcPr>
          <w:p>
            <w:pPr/>
          </w:p>
        </w:tc>
        <w:tc>
          <w:tcPr>
            <w:tcW w:w="1550" w:type="pct"/>
            <w:noWrap/>
          </w:tcPr>
          <w:p>
            <w:pPr/>
          </w:p>
        </w:tc>
      </w:tr>
      <w:tr>
        <w:trPr/>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Title of each class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Trading</w:t>
            </w:r>
          </w:p>
          <w:p>
            <w:pPr>
              <w:jc w:val="center"/>
              <w:spacing w:before="0" w:after="20"/>
            </w:pPr>
            <w:r>
              <w:rPr>
                <w:rFonts w:ascii="Times New Roman" w:hAnsi="Times New Roman" w:eastAsia="Times New Roman" w:cs="Times New Roman"/>
                <w:sz w:val="16"/>
                <w:szCs w:val="16"/>
                <w:b w:val="1"/>
                <w:bCs w:val="1"/>
              </w:rPr>
              <w:t xml:space="preserve">Symbol(s)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Name of each exchange</w:t>
            </w:r>
          </w:p>
          <w:p>
            <w:pPr>
              <w:jc w:val="center"/>
              <w:spacing w:before="0" w:after="20"/>
            </w:pPr>
            <w:r>
              <w:rPr>
                <w:rFonts w:ascii="Times New Roman" w:hAnsi="Times New Roman" w:eastAsia="Times New Roman" w:cs="Times New Roman"/>
                <w:sz w:val="16"/>
                <w:szCs w:val="16"/>
                <w:b w:val="1"/>
                <w:bCs w:val="1"/>
              </w:rPr>
              <w:t xml:space="preserve">on which registered</w:t>
            </w: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Class A Common Stock, $0.0001 par value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ORGO</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Nasdaq Capital Market</w:t>
            </w:r>
          </w:p>
        </w:tc>
      </w:tr>
    </w:tbl>
    <w:p>
      <w:pPr>
        <w:jc w:val="start"/>
        <w:spacing w:before="20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 (§230.405 of this chapter) or Rule </w:t>
      </w:r>
      <w:r>
        <w:rPr>
          <w:rFonts w:ascii="Times New Roman" w:hAnsi="Times New Roman" w:eastAsia="Times New Roman" w:cs="Times New Roman"/>
          <w:sz w:val="20"/>
          <w:szCs w:val="20"/>
        </w:rPr>
        <w:t xml:space="preserve">12b-2</w:t>
      </w:r>
      <w:r>
        <w:rPr>
          <w:rFonts w:ascii="Times New Roman" w:hAnsi="Times New Roman" w:eastAsia="Times New Roman" w:cs="Times New Roman"/>
          <w:sz w:val="20"/>
          <w:szCs w:val="20"/>
        </w:rPr>
        <w:t xml:space="preserve"> of the Securities Exchange Act of 1934 </w:t>
      </w:r>
      <w:r>
        <w:rPr>
          <w:rFonts w:ascii="Times New Roman" w:hAnsi="Times New Roman" w:eastAsia="Times New Roman" w:cs="Times New Roman"/>
          <w:sz w:val="20"/>
          <w:szCs w:val="20"/>
        </w:rPr>
        <w:t xml:space="preserve">(§240.12b-2</w:t>
      </w:r>
      <w:r>
        <w:rPr>
          <w:rFonts w:ascii="Times New Roman" w:hAnsi="Times New Roman" w:eastAsia="Times New Roman" w:cs="Times New Roman"/>
          <w:sz w:val="20"/>
          <w:szCs w:val="20"/>
        </w:rPr>
        <w:t xml:space="preserve"> of this chapter).</w:t>
      </w:r>
    </w:p>
    <w:p>
      <w:pPr>
        <w:jc w:val="start"/>
        <w:ind w:left="0" w:right="0" w:firstLine="0" w:hanging="0"/>
        <w:spacing w:before="200" w:after="0"/>
      </w:pPr>
      <w:r>
        <w:rPr>
          <w:rFonts w:ascii="Times New Roman" w:hAnsi="Times New Roman" w:eastAsia="Times New Roman" w:cs="Times New Roman"/>
          <w:sz w:val="20"/>
          <w:szCs w:val="20"/>
        </w:rPr>
        <w:t xml:space="preserve">Emerging Growth Company  ☒</w:t>
      </w:r>
    </w:p>
    <w:p>
      <w:pPr>
        <w:jc w:val="start"/>
        <w:spacing w:before="20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  ☐</w:t>
      </w:r>
    </w:p>
    <w:p>
      <w:pPr>
        <w:jc w:val="start"/>
        <w:spacing w:before="0" w:after="0"/>
      </w:pPr>
      <w:r>
        <w:rPr>
          <w:sz w:val="20"/>
          <w:szCs w:val="20"/>
        </w:rPr>
        <w:t xml:space="preserve"> </w:t>
      </w:r>
    </w:p>
    <w:p>
      <w:pPr>
        <w:jc w:val="start"/>
        <w:spacing w:before="0" w:after="0" w:line="20" w:lineRule="exact"/>
      </w:pPr>
      <w:r>
        <w:rPr/>
        <w:t xml:space="preserve"> </w:t>
      </w:r>
    </w:p>
    <w:p>
      <w:pPr>
        <w:jc w:val="start"/>
        <w:spacing w:before="0" w:after="40" w:line="60" w:lineRule="exact"/>
      </w:pPr>
      <w:r>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7.01.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Regulation FD Disclosure. </w:t>
            </w:r>
          </w:p>
        </w:tc>
      </w:tr>
    </w:tbl>
    <w:p>
      <w:pPr>
        <w:jc w:val="start"/>
        <w:spacing w:before="120" w:after="0"/>
      </w:pPr>
      <w:r>
        <w:rPr>
          <w:rFonts w:ascii="Times New Roman" w:hAnsi="Times New Roman" w:eastAsia="Times New Roman" w:cs="Times New Roman"/>
          <w:sz w:val="20"/>
          <w:szCs w:val="20"/>
        </w:rPr>
        <w:t xml:space="preserve">Organogenesis Holdings Inc. (the “Company”) from time to time presents at various industry and other conferences and provides summary business information. A copy of the slide presentation that will be used by representatives of the Company in connection with such presentations (the “Corporate Presentation”) is attached to this Current Report on </w:t>
      </w:r>
      <w:r>
        <w:rPr>
          <w:rFonts w:ascii="Times New Roman" w:hAnsi="Times New Roman" w:eastAsia="Times New Roman" w:cs="Times New Roman"/>
          <w:sz w:val="20"/>
          <w:szCs w:val="20"/>
        </w:rPr>
        <w:t xml:space="preserve">Form 8-K as</w:t>
      </w:r>
      <w:r>
        <w:rPr>
          <w:rFonts w:ascii="Times New Roman" w:hAnsi="Times New Roman" w:eastAsia="Times New Roman" w:cs="Times New Roman"/>
          <w:sz w:val="20"/>
          <w:szCs w:val="20"/>
        </w:rPr>
        <w:t xml:space="preserve"> Exhibit 99.1. The Corporate Presentation is current as of September 15, 2020, and the Company disclaims any obligation to correct or update this material in the future. </w:t>
      </w:r>
    </w:p>
    <w:p>
      <w:pPr>
        <w:jc w:val="start"/>
        <w:spacing w:before="240" w:after="0"/>
      </w:pPr>
      <w:r>
        <w:rPr>
          <w:rFonts w:ascii="Times New Roman" w:hAnsi="Times New Roman" w:eastAsia="Times New Roman" w:cs="Times New Roman"/>
          <w:sz w:val="20"/>
          <w:szCs w:val="20"/>
        </w:rPr>
        <w:t xml:space="preserve">The information in the Corproate Presentation attached as Exhibit 99.1 is intended to be furnished and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 except as expressly set forth by specific reference in such filing. </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9.01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Financial Statements and Exhibits. </w:t>
            </w:r>
          </w:p>
        </w:tc>
      </w:tr>
    </w:tbl>
    <w:p>
      <w:pPr>
        <w:jc w:val="start"/>
        <w:spacing w:before="120" w:after="0"/>
      </w:pPr>
      <w:r>
        <w:rPr>
          <w:rFonts w:ascii="Times New Roman" w:hAnsi="Times New Roman" w:eastAsia="Times New Roman" w:cs="Times New Roman"/>
          <w:sz w:val="20"/>
          <w:szCs w:val="20"/>
          <w:b w:val="1"/>
          <w:bCs w:val="1"/>
        </w:rPr>
        <w:t xml:space="preserve">(d) </w:t>
      </w:r>
      <w:r>
        <w:rPr>
          <w:rFonts w:ascii="Times New Roman" w:hAnsi="Times New Roman" w:eastAsia="Times New Roman" w:cs="Times New Roman"/>
          <w:sz w:val="20"/>
          <w:szCs w:val="20"/>
        </w:rPr>
        <w:t xml:space="preserve">Exhibits </w:t>
      </w:r>
    </w:p>
    <w:p>
      <w:pPr>
        <w:jc w:val="start"/>
        <w:spacing w:before="0" w:after="0"/>
      </w:pPr>
      <w:r>
        <w:rPr>
          <w:sz w:val="24"/>
          <w:szCs w:val="24"/>
        </w:rPr>
        <w:t xml:space="preserve"> </w:t>
      </w:r>
    </w:p>
    <w:tbl>
      <w:tblGrid>
        <w:gridCol w:w="5000" w:type="dxa"/>
        <w:gridCol w:w="200" w:type="dxa"/>
        <w:gridCol w:w="4650" w:type="dxa"/>
      </w:tblGrid>
      <w:tblPr>
        <w:tblW w:w="5000" w:type="pct"/>
        <w:tblCellSpacing w:w="0" w:type="dxa"/>
        <w:tblLayout w:type="autofit"/>
      </w:tblPr>
      <w:tr>
        <w:trPr/>
        <w:tc>
          <w:tcPr>
            <w:tcW w:w="5000" w:type="pct"/>
            <w:noWrap/>
          </w:tcPr>
          <w:p>
            <w:pPr/>
          </w:p>
        </w:tc>
        <w:tc>
          <w:tcPr>
            <w:tcW w:w="200" w:type="pct"/>
            <w:vAlign w:val="bottom"/>
            <w:noWrap/>
          </w:tcPr>
          <w:p>
            <w:pPr/>
          </w:p>
        </w:tc>
        <w:tc>
          <w:tcPr>
            <w:tcW w:w="4650" w:type="pct"/>
            <w:noWrap/>
          </w:tcPr>
          <w:p>
            <w:pPr/>
          </w:p>
        </w:tc>
      </w:tr>
      <w:tr>
        <w:trPr/>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Exhibit</w:t>
            </w:r>
            <w:br/>
            <w:r>
              <w:rPr>
                <w:rFonts w:ascii="Times New Roman" w:hAnsi="Times New Roman" w:eastAsia="Times New Roman" w:cs="Times New Roman"/>
                <w:sz w:val="16"/>
                <w:szCs w:val="16"/>
                <w:b w:val="1"/>
                <w:bCs w:val="1"/>
              </w:rPr>
              <w:t xml:space="preserve">No.</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start"/>
              <w:spacing w:before="0" w:after="0"/>
            </w:pPr>
            <w:r>
              <w:rPr>
                <w:rFonts w:ascii="Times New Roman" w:hAnsi="Times New Roman" w:eastAsia="Times New Roman" w:cs="Times New Roman"/>
                <w:sz w:val="16"/>
                <w:szCs w:val="16"/>
                <w:b w:val="1"/>
                <w:bCs w:val="1"/>
              </w:rPr>
              <w:t xml:space="preserve">Description</w:t>
            </w:r>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99.1</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hyperlink r:id="rId7" w:history="1">
              <w:r>
                <w:rPr/>
                <w:t xml:space="preserve">Corporate Presentation current as of September 15, 2020. </w:t>
              </w:r>
            </w:hyperlink>
          </w:p>
        </w:tc>
      </w:tr>
    </w:tbl>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 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bottom"/>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start"/>
              <w:spacing w:before="0" w:after="20"/>
            </w:pPr>
            <w:r>
              <w:rPr>
                <w:rFonts w:ascii="Times New Roman" w:hAnsi="Times New Roman" w:eastAsia="Times New Roman" w:cs="Times New Roman"/>
                <w:sz w:val="20"/>
                <w:szCs w:val="20"/>
              </w:rPr>
              <w:t xml:space="preserve">/s/ Lori Freedman</w:t>
            </w:r>
          </w:p>
        </w:tc>
      </w:tr>
      <w:tr>
        <w:trPr/>
        <w:tc>
          <w:tcPr>
            <w:tcW w:w="2000" w:type="pct"/>
            <w:vAlign w:val="bottom"/>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Lori Freedman</w:t>
            </w:r>
          </w:p>
        </w:tc>
      </w:tr>
      <w:tr>
        <w:trPr/>
        <w:tc>
          <w:tcPr>
            <w:tcW w:w="2000" w:type="pct"/>
            <w:vAlign w:val="bottom"/>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Vice President and General Counsel</w:t>
            </w:r>
          </w:p>
        </w:tc>
      </w:tr>
    </w:tbl>
    <w:p>
      <w:pPr>
        <w:jc w:val="start"/>
        <w:spacing w:before="240" w:after="0"/>
      </w:pPr>
      <w:r>
        <w:rPr>
          <w:rFonts w:ascii="Times New Roman" w:hAnsi="Times New Roman" w:eastAsia="Times New Roman" w:cs="Times New Roman"/>
          <w:sz w:val="20"/>
          <w:szCs w:val="20"/>
        </w:rPr>
        <w:t xml:space="preserve">Date: September 15, 2020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97357dex99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2026-08-07T12:19:21-04:00</dcterms:created>
  <dcterms:modified xsi:type="dcterms:W3CDTF">2026-08-07T12:19:21-04:00</dcterms:modified>
</cp:coreProperties>
</file>

<file path=docProps/custom.xml><?xml version="1.0" encoding="utf-8"?>
<Properties xmlns="http://schemas.openxmlformats.org/officeDocument/2006/custom-properties" xmlns:vt="http://schemas.openxmlformats.org/officeDocument/2006/docPropsVTypes"/>
</file>