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36"/>
          <w:szCs w:val="36"/>
          <w:b w:val="1"/>
          <w:bCs w:val="1"/>
        </w:rPr>
        <w:t xml:space="preserve">FORM 8-K</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200" w:after="0"/>
      </w:pPr>
      <w:r>
        <w:rPr>
          <w:rFonts w:ascii="Times New Roman" w:hAnsi="Times New Roman" w:eastAsia="Times New Roman" w:cs="Times New Roman"/>
          <w:sz w:val="24"/>
          <w:szCs w:val="24"/>
          <w:b w:val="1"/>
          <w:bCs w:val="1"/>
        </w:rPr>
        <w:t xml:space="preserve">Date of Report (Date of Earliest Event Reported): December 29, 2021</w:t>
      </w:r>
    </w:p>
    <w:p>
      <w:pPr>
        <w:jc w:val="start"/>
        <w:spacing w:before="0" w:after="0"/>
      </w:pPr>
      <w:r>
        <w:rPr>
          <w:sz w:val="20"/>
          <w:szCs w:val="20"/>
        </w:rPr>
        <w:t xml:space="preserve"> </w:t>
      </w:r>
    </w:p>
    <w:p>
      <w:pPr>
        <w:jc w:val="center"/>
        <w:spacing w:before="0" w:after="40" w:line="120" w:lineRule="exact"/>
      </w:pPr>
      <w:r>
        <w:rPr/>
        <w:t xml:space="preserve"> </w:t>
      </w:r>
    </w:p>
    <w:p>
      <w:pPr>
        <w:jc w:val="center"/>
        <w:spacing w:before="20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(State or Other Jurisdiction</w:t>
            </w:r>
            <w:b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(Commission</w:t>
            </w:r>
            <w:b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(IRS Employer</w:t>
            </w:r>
            <w:b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20"/>
          <w:szCs w:val="20"/>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top"/>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00" w:after="0"/>
      </w:pPr>
      <w:r>
        <w:rPr>
          <w:rFonts w:ascii="Times New Roman" w:hAnsi="Times New Roman" w:eastAsia="Times New Roman" w:cs="Times New Roman"/>
          <w:sz w:val="20"/>
          <w:szCs w:val="20"/>
          <w:b w:val="1"/>
          <w:bCs w:val="1"/>
        </w:rPr>
        <w:t xml:space="preserve">(781) 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20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changed since last report)</w:t>
      </w:r>
    </w:p>
    <w:p>
      <w:pPr>
        <w:jc w:val="start"/>
        <w:spacing w:before="0" w:after="0"/>
      </w:pPr>
      <w:r>
        <w:rPr>
          <w:sz w:val="20"/>
          <w:szCs w:val="20"/>
        </w:rPr>
        <w:t xml:space="preserve"> </w:t>
      </w:r>
    </w:p>
    <w:p>
      <w:pPr>
        <w:jc w:val="center"/>
        <w:spacing w:before="0" w:after="40" w:line="120" w:lineRule="exact"/>
      </w:pPr>
      <w:r>
        <w:rPr/>
        <w:t xml:space="preserve"> </w:t>
      </w:r>
    </w:p>
    <w:p>
      <w:pPr>
        <w:jc w:val="start"/>
        <w:spacing w:before="200" w:after="0"/>
      </w:pPr>
      <w:r>
        <w:rPr>
          <w:rFonts w:ascii="Times New Roman" w:hAnsi="Times New Roman" w:eastAsia="Times New Roman" w:cs="Times New Roman"/>
          <w:sz w:val="20"/>
          <w:szCs w:val="20"/>
        </w:rPr>
        <w:t xml:space="preserve">Check the appropriate box below if the Form 8-K filing is intended to simultaneously satisfy the filing obligation of the registrant under any of the following provisions:</w:t>
      </w:r>
    </w:p>
    <w:p>
      <w:pPr>
        <w:jc w:val="start"/>
        <w:spacing w:before="0" w:after="0"/>
      </w:pPr>
      <w:r>
        <w:rPr>
          <w:sz w:val="8"/>
          <w:szCs w:val="8"/>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8"/>
          <w:szCs w:val="8"/>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14a-12 under the Exchange Act (17 CFR 240.14a-12)</w:t>
            </w:r>
          </w:p>
        </w:tc>
      </w:tr>
    </w:tbl>
    <w:p>
      <w:pPr>
        <w:jc w:val="start"/>
        <w:spacing w:before="0" w:after="0"/>
      </w:pPr>
      <w:r>
        <w:rPr>
          <w:sz w:val="8"/>
          <w:szCs w:val="8"/>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14d-2(b) under the Exchange Act (17 CFR 240.14d-2(b))</w:t>
            </w:r>
          </w:p>
        </w:tc>
      </w:tr>
    </w:tbl>
    <w:p>
      <w:pPr>
        <w:jc w:val="start"/>
        <w:spacing w:before="0" w:after="0"/>
      </w:pPr>
      <w:r>
        <w:rPr>
          <w:sz w:val="8"/>
          <w:szCs w:val="8"/>
        </w:rPr>
        <w:t xml:space="preserve"> </w:t>
      </w:r>
    </w:p>
    <w:tbl>
      <w:tblGrid>
        <w:gridCol w:w="200" w:type="dxa"/>
        <w:gridCol w:w="5000" w:type="dxa"/>
      </w:tblGrid>
      <w:tblPr>
        <w:tblW w:w="5000" w:type="pct"/>
        <w:tblCellSpacing w:w="0" w:type="dxa"/>
        <w:tblLayout w:type="autofit"/>
      </w:tblPr>
      <w:tr>
        <w:trPr/>
        <w:tc>
          <w:tcPr>
            <w:tcW w:w="200" w:type="pct"/>
            <w:vAlign w:val="top"/>
            <w:noWrap/>
          </w:tcPr>
          <w:p>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 communications pursuant to Rule 13e-4(c) under the Exchange Act (17 CFR 240.13e-4(c))</w:t>
            </w:r>
          </w:p>
        </w:tc>
      </w:tr>
    </w:tbl>
    <w:p>
      <w:pPr>
        <w:jc w:val="start"/>
        <w:spacing w:before="20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20"/>
          <w:szCs w:val="20"/>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 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 on which registered</w:t>
            </w: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Nasdaq Capital Market</w:t>
            </w:r>
          </w:p>
        </w:tc>
      </w:tr>
    </w:tbl>
    <w:p>
      <w:pPr>
        <w:jc w:val="start"/>
        <w:spacing w:before="20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12b-2 of the Securities Exchange Act of 1934 (§240.12b-2 of this chapter).</w:t>
      </w:r>
    </w:p>
    <w:p>
      <w:pPr>
        <w:jc w:val="start"/>
        <w:ind w:left="0" w:right="0" w:firstLine="0" w:hanging="0"/>
        <w:spacing w:before="200" w:after="0"/>
      </w:pPr>
      <w:r>
        <w:rPr>
          <w:rFonts w:ascii="Times New Roman" w:hAnsi="Times New Roman" w:eastAsia="Times New Roman" w:cs="Times New Roman"/>
          <w:sz w:val="20"/>
          <w:szCs w:val="20"/>
        </w:rPr>
        <w:t xml:space="preserve">Emerging Growth Company ☒</w:t>
      </w:r>
    </w:p>
    <w:p>
      <w:pPr>
        <w:jc w:val="start"/>
        <w:spacing w:before="20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b w:val="1"/>
          <w:bCs w:val="1"/>
        </w:rPr>
        <w:t xml:space="preserve">Item 5.07. Submission of Matters to a Vote of Security Holders. </w:t>
      </w:r>
    </w:p>
    <w:p>
      <w:pPr>
        <w:jc w:val="start"/>
        <w:spacing w:before="120" w:after="0"/>
      </w:pPr>
      <w:r>
        <w:rPr>
          <w:rFonts w:ascii="Times New Roman" w:hAnsi="Times New Roman" w:eastAsia="Times New Roman" w:cs="Times New Roman"/>
          <w:sz w:val="20"/>
          <w:szCs w:val="20"/>
        </w:rPr>
        <w:t xml:space="preserve">We held our 2021 Annual Meeting of Stockholders on December 29, 2021, at which two proposals were submitted to, and approved by, our stockholders. The holders of 95,954,171 shares of our Class A common stock were present or represented by proxy at the meeting. The proposals are described in detail in our definitive proxy statement for the 2021 Annual Meeting filed with the Securities and Exchange Commission on November 30, 2021. The final results for the votes for each proposal are set forth below. </w:t>
      </w:r>
    </w:p>
    <w:p>
      <w:pPr>
        <w:jc w:val="start"/>
        <w:spacing w:before="240" w:after="0"/>
      </w:pPr>
      <w:r>
        <w:rPr>
          <w:rFonts w:ascii="Times New Roman" w:hAnsi="Times New Roman" w:eastAsia="Times New Roman" w:cs="Times New Roman"/>
          <w:sz w:val="20"/>
          <w:szCs w:val="20"/>
        </w:rPr>
        <w:t xml:space="preserve">At the annual meeting, each of Alan A. Ades, Robert Ades, Prathyusha Duraibabu, David Erani, Jon Giacomin, Gary S. Gillheeney, Sr., Arthur S. Leibowitz and Glenn H. Nussdorf was elected as a Director of the Company, to serve until the next Annual Meeting of Stockholders and until their successors are elected and qualified. The votes cast in the election of the directors were as follows: </w:t>
      </w:r>
    </w:p>
    <w:p>
      <w:pPr>
        <w:jc w:val="start"/>
        <w:spacing w:before="0" w:after="0"/>
      </w:pPr>
      <w:r>
        <w:rPr>
          <w:sz w:val="24"/>
          <w:szCs w:val="24"/>
        </w:rPr>
        <w:t xml:space="preserve"> </w:t>
      </w:r>
    </w:p>
    <w:tbl>
      <w:tblGrid>
        <w:gridCol w:w="3200" w:type="dxa"/>
        <w:gridCol w:w="100" w:type="dxa"/>
        <w:gridCol w:w="4200" w:type="dxa"/>
        <w:gridCol w:w="100" w:type="dxa"/>
        <w:gridCol w:w="4200" w:type="dxa"/>
        <w:gridCol w:w="100" w:type="dxa"/>
        <w:gridCol w:w="4200" w:type="dxa"/>
      </w:tblGrid>
      <w:tblPr>
        <w:tblW w:w="4200" w:type="pct"/>
        <w:tblCellSpacing w:w="0" w:type="dxa"/>
        <w:tblLayout w:type="autofit"/>
      </w:tblPr>
      <w:tr>
        <w:trPr/>
        <w:tc>
          <w:tcPr>
            <w:tcW w:w="3200" w:type="pct"/>
            <w:noWrap/>
          </w:tcPr>
          <w:p>
            <w:pPr/>
          </w:p>
        </w:tc>
        <w:tc>
          <w:tcPr>
            <w:tcW w:w="100" w:type="pct"/>
            <w:vAlign w:val="bottom"/>
            <w:noWrap/>
          </w:tcPr>
          <w:p>
            <w:pPr/>
          </w:p>
        </w:tc>
        <w:tc>
          <w:tcPr>
            <w:tcW w:w="4200" w:type="pct"/>
            <w:noWrap/>
          </w:tcPr>
          <w:p>
            <w:pPr/>
          </w:p>
        </w:tc>
        <w:tc>
          <w:tcPr>
            <w:tcW w:w="100" w:type="pct"/>
            <w:vAlign w:val="bottom"/>
            <w:noWrap/>
          </w:tcPr>
          <w:p>
            <w:pPr/>
          </w:p>
        </w:tc>
        <w:tc>
          <w:tcPr>
            <w:tcW w:w="4200" w:type="pct"/>
            <w:noWrap/>
          </w:tcPr>
          <w:p>
            <w:pPr/>
          </w:p>
        </w:tc>
        <w:tc>
          <w:tcPr>
            <w:tcW w:w="100" w:type="pct"/>
            <w:vAlign w:val="bottom"/>
            <w:noWrap/>
          </w:tcPr>
          <w:p>
            <w:pPr/>
          </w:p>
        </w:tc>
        <w:tc>
          <w:tcPr>
            <w:tcW w:w="4200" w:type="pct"/>
            <w:noWrap/>
          </w:tcPr>
          <w:p>
            <w:pPr/>
          </w:p>
        </w:tc>
      </w:tr>
      <w:tr>
        <w:trPr/>
        <w:tc>
          <w:tcPr>
            <w:tcW w:w="4200" w:type="pct"/>
            <w:vAlign w:val="bottom"/>
            <w:noWrap/>
          </w:tcPr>
          <w:p>
            <w:pPr>
              <w:jc w:val="center"/>
              <w:spacing w:before="0" w:after="20"/>
            </w:pPr>
            <w:r>
              <w:rPr>
                <w:rFonts w:ascii="Times New Roman" w:hAnsi="Times New Roman" w:eastAsia="Times New Roman" w:cs="Times New Roman"/>
                <w:sz w:val="16"/>
                <w:szCs w:val="16"/>
                <w:b w:val="1"/>
                <w:bCs w:val="1"/>
              </w:rPr>
              <w:t xml:space="preserve">Nominee</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Votes Withheld</w:t>
            </w:r>
          </w:p>
        </w:tc>
        <w:tc>
          <w:tcPr>
            <w:tcW w:w="4200" w:type="pct"/>
            <w:vAlign w:val="bottom"/>
            <w:noWrap/>
          </w:tcPr>
          <w:p>
            <w:pPr/>
            <w:r>
              <w:rPr>
                <w:rFonts w:ascii="Times New Roman" w:hAnsi="Times New Roman" w:eastAsia="Times New Roman" w:cs="Times New Roman"/>
                <w:sz w:val="16"/>
                <w:szCs w:val="16"/>
              </w:rPr>
              <w:t xml:space="preserve">  </w:t>
            </w:r>
          </w:p>
        </w:tc>
        <w:tc>
          <w:tcPr>
            <w:tcW w:w="42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Alan A. Ades</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33,738,672</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21,713,880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40,501,619</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Robert Ades</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38,507,526</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16,945,026</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40,501,619</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Prathyusha Duraibabu</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54,443,510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  1,009,042</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40,501,619</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David Erani</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39,703,369</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15,749,183</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40,501,619</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Jon Giacomin</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52,718,082</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  2,734,470</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40,501,619</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Gary S. Gillheeney, Sr.</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43,286,577</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12,165,975</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40,501,619</w:t>
            </w:r>
          </w:p>
        </w:tc>
      </w:tr>
      <w:tr>
        <w:trPr/>
        <w:tc>
          <w:tcPr>
            <w:tcW w:w="42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Arthur S. Leibowitz</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33,464,727</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21,987,825</w:t>
            </w:r>
          </w:p>
        </w:tc>
        <w:tc>
          <w:tcPr>
            <w:tcW w:w="42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200" w:type="pct"/>
            <w:vAlign w:val="bottom"/>
            <w:shd w:val="clear" w:fill="cceeff"/>
            <w:noWrap/>
          </w:tcPr>
          <w:p>
            <w:pPr>
              <w:jc w:val="center"/>
            </w:pPr>
            <w:r>
              <w:rPr>
                <w:rFonts w:ascii="Times New Roman" w:hAnsi="Times New Roman" w:eastAsia="Times New Roman" w:cs="Times New Roman"/>
                <w:sz w:val="20"/>
                <w:szCs w:val="20"/>
                <w:shd w:val="clear" w:fill="cceeff"/>
              </w:rPr>
              <w:t xml:space="preserve">40,501,619</w:t>
            </w:r>
          </w:p>
        </w:tc>
      </w:tr>
      <w:tr>
        <w:trPr/>
        <w:tc>
          <w:tcPr>
            <w:tcW w:w="4200" w:type="pct"/>
            <w:vAlign w:val="top"/>
            <w:noWrap/>
          </w:tcPr>
          <w:p>
            <w:pPr>
              <w:jc w:val="start"/>
              <w:ind w:left="0" w:right="0" w:firstLine="0" w:hanging="0"/>
              <w:spacing w:before="0" w:after="0"/>
            </w:pPr>
            <w:r>
              <w:rPr>
                <w:rFonts w:ascii="Times New Roman" w:hAnsi="Times New Roman" w:eastAsia="Times New Roman" w:cs="Times New Roman"/>
                <w:sz w:val="20"/>
                <w:szCs w:val="20"/>
              </w:rPr>
              <w:t xml:space="preserve">Glenn H. Nussdorf</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39,791,632</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15,660,920</w:t>
            </w:r>
          </w:p>
        </w:tc>
        <w:tc>
          <w:tcPr>
            <w:tcW w:w="4200" w:type="pct"/>
            <w:vAlign w:val="bottom"/>
            <w:noWrap/>
          </w:tcPr>
          <w:p>
            <w:pPr/>
            <w:r>
              <w:rPr>
                <w:rFonts w:ascii="Times New Roman" w:hAnsi="Times New Roman" w:eastAsia="Times New Roman" w:cs="Times New Roman"/>
                <w:sz w:val="20"/>
                <w:szCs w:val="20"/>
              </w:rPr>
              <w:t xml:space="preserve">  </w:t>
            </w:r>
          </w:p>
        </w:tc>
        <w:tc>
          <w:tcPr>
            <w:tcW w:w="4200" w:type="pct"/>
            <w:vAlign w:val="bottom"/>
            <w:noWrap/>
          </w:tcPr>
          <w:p>
            <w:pPr>
              <w:jc w:val="center"/>
            </w:pPr>
            <w:r>
              <w:rPr>
                <w:rFonts w:ascii="Times New Roman" w:hAnsi="Times New Roman" w:eastAsia="Times New Roman" w:cs="Times New Roman"/>
                <w:sz w:val="20"/>
                <w:szCs w:val="20"/>
              </w:rPr>
              <w:t xml:space="preserve">40,501,619</w:t>
            </w:r>
          </w:p>
        </w:tc>
      </w:tr>
    </w:tbl>
    <w:p>
      <w:pPr>
        <w:jc w:val="start"/>
        <w:spacing w:before="240" w:after="0"/>
      </w:pPr>
      <w:r>
        <w:rPr>
          <w:rFonts w:ascii="Times New Roman" w:hAnsi="Times New Roman" w:eastAsia="Times New Roman" w:cs="Times New Roman"/>
          <w:sz w:val="20"/>
          <w:szCs w:val="20"/>
        </w:rPr>
        <w:t xml:space="preserve">At the annual meeting, our stockholders also approved the proposal to ratify the appointment of RSM US LLP as our independent registered public accounting firm for our fiscal year ending on December 31, 2021. The votes cast on this proposal were as follows: </w:t>
      </w:r>
    </w:p>
    <w:p>
      <w:pPr>
        <w:jc w:val="start"/>
        <w:spacing w:before="0" w:after="0"/>
      </w:pPr>
      <w:r>
        <w:rPr>
          <w:sz w:val="24"/>
          <w:szCs w:val="24"/>
        </w:rPr>
        <w:t xml:space="preserve"> </w:t>
      </w:r>
    </w:p>
    <w:tbl>
      <w:tblGrid>
        <w:gridCol w:w="3000" w:type="dxa"/>
        <w:gridCol w:w="200" w:type="dxa"/>
        <w:gridCol w:w="4600" w:type="dxa"/>
        <w:gridCol w:w="200" w:type="dxa"/>
        <w:gridCol w:w="4600" w:type="dxa"/>
        <w:gridCol w:w="200" w:type="dxa"/>
        <w:gridCol w:w="4600" w:type="dxa"/>
        <w:gridCol w:w="200" w:type="dxa"/>
        <w:gridCol w:w="4600" w:type="dxa"/>
      </w:tblGrid>
      <w:tblPr>
        <w:tblW w:w="4600" w:type="pct"/>
        <w:tblCellSpacing w:w="0" w:type="dxa"/>
        <w:tblLayout w:type="autofit"/>
      </w:tblPr>
      <w:tr>
        <w:trPr/>
        <w:tc>
          <w:tcPr>
            <w:tcW w:w="3000" w:type="pct"/>
            <w:noWrap/>
          </w:tcPr>
          <w:p>
            <w:pPr/>
          </w:p>
        </w:tc>
        <w:tc>
          <w:tcPr>
            <w:tcW w:w="200" w:type="pct"/>
            <w:vAlign w:val="bottom"/>
            <w:noWrap/>
          </w:tcPr>
          <w:p>
            <w:pPr/>
          </w:p>
        </w:tc>
        <w:tc>
          <w:tcPr>
            <w:tcW w:w="4600" w:type="pct"/>
            <w:noWrap/>
          </w:tcPr>
          <w:p>
            <w:pPr/>
          </w:p>
        </w:tc>
        <w:tc>
          <w:tcPr>
            <w:tcW w:w="200" w:type="pct"/>
            <w:vAlign w:val="bottom"/>
            <w:noWrap/>
          </w:tcPr>
          <w:p>
            <w:pPr/>
          </w:p>
        </w:tc>
        <w:tc>
          <w:tcPr>
            <w:tcW w:w="4600" w:type="pct"/>
            <w:noWrap/>
          </w:tcPr>
          <w:p>
            <w:pPr/>
          </w:p>
        </w:tc>
        <w:tc>
          <w:tcPr>
            <w:tcW w:w="200" w:type="pct"/>
            <w:vAlign w:val="bottom"/>
            <w:noWrap/>
          </w:tcPr>
          <w:p>
            <w:pPr/>
          </w:p>
        </w:tc>
        <w:tc>
          <w:tcPr>
            <w:tcW w:w="4600" w:type="pct"/>
            <w:noWrap/>
          </w:tcPr>
          <w:p>
            <w:pPr/>
          </w:p>
        </w:tc>
        <w:tc>
          <w:tcPr>
            <w:tcW w:w="200" w:type="pct"/>
            <w:vAlign w:val="bottom"/>
            <w:noWrap/>
          </w:tcPr>
          <w:p>
            <w:pPr/>
          </w:p>
        </w:tc>
        <w:tc>
          <w:tcPr>
            <w:tcW w:w="4600" w:type="pct"/>
            <w:noWrap/>
          </w:tcPr>
          <w:p>
            <w:pPr/>
          </w:p>
        </w:tc>
      </w:tr>
      <w:tr>
        <w:trPr/>
        <w:tc>
          <w:tcPr>
            <w:tcW w:w="4600" w:type="pct"/>
            <w:vAlign w:val="bottom"/>
            <w:noWrap/>
          </w:tcPr>
          <w:p>
            <w:pPr>
              <w:jc w:val="center"/>
              <w:spacing w:before="0" w:after="20"/>
            </w:pPr>
            <w:r>
              <w:rPr>
                <w:rFonts w:ascii="Times New Roman" w:hAnsi="Times New Roman" w:eastAsia="Times New Roman" w:cs="Times New Roman"/>
                <w:sz w:val="16"/>
                <w:szCs w:val="16"/>
                <w:b w:val="1"/>
                <w:bCs w:val="1"/>
              </w:rPr>
              <w:t xml:space="preserve">Proposal</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For</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Votes Against</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Abstentions</w:t>
            </w:r>
          </w:p>
        </w:tc>
        <w:tc>
          <w:tcPr>
            <w:tcW w:w="4600" w:type="pct"/>
            <w:vAlign w:val="bottom"/>
            <w:noWrap/>
          </w:tcPr>
          <w:p>
            <w:pPr/>
            <w:r>
              <w:rPr>
                <w:rFonts w:ascii="Times New Roman" w:hAnsi="Times New Roman" w:eastAsia="Times New Roman" w:cs="Times New Roman"/>
                <w:sz w:val="16"/>
                <w:szCs w:val="16"/>
              </w:rPr>
              <w:t xml:space="preserve">  </w:t>
            </w:r>
          </w:p>
        </w:tc>
        <w:tc>
          <w:tcPr>
            <w:tcW w:w="4600" w:type="pct"/>
            <w:vAlign w:val="bottom"/>
            <w:noWrap/>
          </w:tcPr>
          <w:p>
            <w:pPr>
              <w:jc w:val="center"/>
            </w:pPr>
            <w:r>
              <w:rPr>
                <w:rFonts w:ascii="Times New Roman" w:hAnsi="Times New Roman" w:eastAsia="Times New Roman" w:cs="Times New Roman"/>
                <w:sz w:val="16"/>
                <w:szCs w:val="16"/>
                <w:b w:val="1"/>
                <w:bCs w:val="1"/>
              </w:rPr>
              <w:t xml:space="preserve">Broker</w:t>
            </w:r>
            <w:br/>
            <w:r>
              <w:rPr>
                <w:rFonts w:ascii="Times New Roman" w:hAnsi="Times New Roman" w:eastAsia="Times New Roman" w:cs="Times New Roman"/>
                <w:sz w:val="16"/>
                <w:szCs w:val="16"/>
                <w:b w:val="1"/>
                <w:bCs w:val="1"/>
              </w:rPr>
              <w:t xml:space="preserve">Non-Votes</w:t>
            </w:r>
          </w:p>
        </w:tc>
      </w:tr>
      <w:tr>
        <w:trPr/>
        <w:tc>
          <w:tcPr>
            <w:tcW w:w="4600" w:type="pct"/>
            <w:vAlign w:val="top"/>
            <w:shd w:val="clear" w:fill="cceeff"/>
            <w:noWrap/>
          </w:tcPr>
          <w:p>
            <w:pPr>
              <w:jc w:val="start"/>
              <w:ind w:left="0" w:right="0" w:firstLine="0" w:hanging="0"/>
              <w:spacing w:before="0" w:after="0"/>
            </w:pPr>
            <w:r>
              <w:rPr>
                <w:rFonts w:ascii="Times New Roman" w:hAnsi="Times New Roman" w:eastAsia="Times New Roman" w:cs="Times New Roman"/>
                <w:sz w:val="20"/>
                <w:szCs w:val="20"/>
                <w:shd w:val="clear" w:fill="cceeff"/>
              </w:rPr>
              <w:t xml:space="preserve">To ratify the appointment of RSM US LLP as the Company’s independent registered public accounting firm for fiscal year 2021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94,296,655</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181,675</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1,475,841</w:t>
            </w:r>
          </w:p>
        </w:tc>
        <w:tc>
          <w:tcPr>
            <w:tcW w:w="4600" w:type="pct"/>
            <w:vAlign w:val="bottom"/>
            <w:shd w:val="clear" w:fill="cceeff"/>
            <w:noWrap/>
          </w:tcPr>
          <w:p>
            <w:pPr/>
            <w:r>
              <w:rPr>
                <w:rFonts w:ascii="Times New Roman" w:hAnsi="Times New Roman" w:eastAsia="Times New Roman" w:cs="Times New Roman"/>
                <w:sz w:val="20"/>
                <w:szCs w:val="20"/>
                <w:shd w:val="clear" w:fill="cceeff"/>
              </w:rPr>
              <w:t xml:space="preserve">  </w:t>
            </w:r>
          </w:p>
        </w:tc>
        <w:tc>
          <w:tcPr>
            <w:tcW w:w="4600" w:type="pct"/>
            <w:vAlign w:val="bottom"/>
            <w:shd w:val="clear" w:fill="cceeff"/>
            <w:noWrap/>
          </w:tcPr>
          <w:p>
            <w:pPr>
              <w:jc w:val="center"/>
            </w:pPr>
            <w:r>
              <w:rPr>
                <w:rFonts w:ascii="Times New Roman" w:hAnsi="Times New Roman" w:eastAsia="Times New Roman" w:cs="Times New Roman"/>
                <w:sz w:val="20"/>
                <w:szCs w:val="20"/>
                <w:shd w:val="clear" w:fill="cceeff"/>
              </w:rPr>
              <w:t xml:space="preserve">0</w:t>
            </w:r>
          </w:p>
        </w:tc>
      </w:tr>
    </w:tbl>
    <w:p>
      <w:pPr>
        <w:jc w:val="start"/>
        <w:spacing w:before="0" w:after="0"/>
      </w:pPr>
      <w:r>
        <w:rPr>
          <w:sz w:val="16"/>
          <w:szCs w:val="16"/>
        </w:rPr>
        <w:t xml:space="preserve"> </w:t>
      </w:r>
    </w:p>
    <w:p>
      <w:pPr>
        <w:jc w:val="center"/>
        <w:spacing w:before="0" w:after="0"/>
      </w:pPr>
      <w:r>
        <w:rPr>
          <w:rFonts w:ascii="Times New Roman" w:hAnsi="Times New Roman" w:eastAsia="Times New Roman" w:cs="Times New Roman"/>
          <w:sz w:val="20"/>
          <w:szCs w:val="20"/>
        </w:rPr>
        <w:t xml:space="preserve">2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bottom"/>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bottom"/>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bottom"/>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December 30, 2021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2026-08-07T07:24:09-04:00</dcterms:created>
  <dcterms:modified xsi:type="dcterms:W3CDTF">2026-08-07T07:24:09-04:00</dcterms:modified>
</cp:coreProperties>
</file>

<file path=docProps/custom.xml><?xml version="1.0" encoding="utf-8"?>
<Properties xmlns="http://schemas.openxmlformats.org/officeDocument/2006/custom-properties" xmlns:vt="http://schemas.openxmlformats.org/officeDocument/2006/docPropsVTypes"/>
</file>