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spacing w:before="0" w:after="0" w:line="20" w:lineRule="exact"/>
      </w:pPr>
      <w:r>
        <w:rPr/>
        <w:t xml:space="preserve"> </w:t>
      </w:r>
    </w:p>
    <w:p>
      <w:pPr>
        <w:jc w:val="start"/>
        <w:spacing w:before="0" w:after="40" w:line="60" w:lineRule="exac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20"/>
          <w:szCs w:val="20"/>
        </w:rPr>
        <w:t xml:space="preserve"> </w:t>
      </w:r>
    </w:p>
    <w:p>
      <w:pPr>
        <w:jc w:val="center"/>
        <w:spacing w:before="0" w:after="40" w:line="120" w:lineRule="exact"/>
      </w:pPr>
      <w:r>
        <w:rPr/>
        <w:t xml:space="preserve"> </w:t>
      </w:r>
    </w:p>
    <w:p>
      <w:pPr>
        <w:jc w:val="center"/>
        <w:spacing w:before="200" w:after="0"/>
      </w:pPr>
      <w:r>
        <w:rPr>
          <w:rFonts w:ascii="Times New Roman" w:hAnsi="Times New Roman" w:eastAsia="Times New Roman" w:cs="Times New Roman"/>
          <w:sz w:val="36"/>
          <w:szCs w:val="36"/>
          <w:b w:val="1"/>
          <w:bCs w:val="1"/>
        </w:rPr>
        <w:t xml:space="preserve">FORM </w:t>
      </w:r>
      <w:r>
        <w:rPr>
          <w:rFonts w:ascii="Times New Roman" w:hAnsi="Times New Roman" w:eastAsia="Times New Roman" w:cs="Times New Roman"/>
          <w:sz w:val="36"/>
          <w:szCs w:val="36"/>
          <w:b w:val="1"/>
          <w:bCs w:val="1"/>
        </w:rPr>
        <w:t xml:space="preserve">8-K</w:t>
      </w:r>
    </w:p>
    <w:p>
      <w:pPr>
        <w:jc w:val="start"/>
        <w:spacing w:before="0" w:after="0"/>
      </w:pPr>
      <w:r>
        <w:rPr>
          <w:sz w:val="20"/>
          <w:szCs w:val="20"/>
        </w:rPr>
        <w:t xml:space="preserve"> </w:t>
      </w:r>
    </w:p>
    <w:p>
      <w:pPr>
        <w:jc w:val="center"/>
        <w:spacing w:before="0" w:after="40" w:line="120" w:lineRule="exact"/>
      </w:pPr>
      <w:r>
        <w:rPr/>
        <w:t xml:space="preserve"> </w:t>
      </w:r>
    </w:p>
    <w:p>
      <w:pPr>
        <w:jc w:val="center"/>
        <w:spacing w:before="20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of the Securities Exchange Act of 1934</w:t>
      </w:r>
    </w:p>
    <w:p>
      <w:pPr>
        <w:jc w:val="center"/>
        <w:spacing w:before="200" w:after="0"/>
      </w:pPr>
      <w:r>
        <w:rPr>
          <w:rFonts w:ascii="Times New Roman" w:hAnsi="Times New Roman" w:eastAsia="Times New Roman" w:cs="Times New Roman"/>
          <w:sz w:val="24"/>
          <w:szCs w:val="24"/>
          <w:b w:val="1"/>
          <w:bCs w:val="1"/>
        </w:rPr>
        <w:t xml:space="preserve">Date of Report (Date of Earliest Event Reported): March 1, 2022</w:t>
      </w:r>
    </w:p>
    <w:p>
      <w:pPr>
        <w:jc w:val="start"/>
        <w:spacing w:before="0" w:after="0"/>
      </w:pPr>
      <w:r>
        <w:rPr>
          <w:sz w:val="20"/>
          <w:szCs w:val="20"/>
        </w:rPr>
        <w:t xml:space="preserve"> </w:t>
      </w:r>
    </w:p>
    <w:p>
      <w:pPr>
        <w:jc w:val="center"/>
        <w:spacing w:before="0" w:after="40" w:line="120" w:lineRule="exact"/>
      </w:pPr>
      <w:r>
        <w:rPr/>
        <w:t xml:space="preserve"> </w:t>
      </w:r>
    </w:p>
    <w:p>
      <w:pPr>
        <w:jc w:val="center"/>
        <w:spacing w:before="200" w:after="0"/>
      </w:pPr>
      <w:r>
        <w:rPr>
          <w:rFonts w:ascii="Times New Roman" w:hAnsi="Times New Roman" w:eastAsia="Times New Roman" w:cs="Times New Roman"/>
          <w:sz w:val="48"/>
          <w:szCs w:val="48"/>
          <w:b w:val="1"/>
          <w:bCs w:val="1"/>
        </w:rPr>
        <w:t xml:space="preserve"> 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20"/>
          <w:szCs w:val="20"/>
        </w:rPr>
        <w:t xml:space="preserve"> </w:t>
      </w:r>
    </w:p>
    <w:p>
      <w:pPr>
        <w:jc w:val="center"/>
        <w:spacing w:before="0" w:after="40" w:line="120" w:lineRule="exact"/>
      </w:pPr>
      <w:r>
        <w:rPr/>
        <w:t xml:space="preserve"> </w:t>
      </w:r>
    </w:p>
    <w:p>
      <w:pPr>
        <w:jc w:val="start"/>
        <w:spacing w:before="0" w:after="0"/>
      </w:pPr>
      <w:r>
        <w:rPr>
          <w:sz w:val="20"/>
          <w:szCs w:val="20"/>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bl>
    <w:p>
      <w:pPr>
        <w:jc w:val="start"/>
        <w:spacing w:before="0" w:after="0"/>
      </w:pPr>
      <w:r>
        <w:rPr>
          <w:sz w:val="20"/>
          <w:szCs w:val="20"/>
        </w:rPr>
        <w:t xml:space="preserve"> </w:t>
      </w:r>
    </w:p>
    <w:tbl>
      <w:tblGrid>
        <w:gridCol w:w="2500" w:type="dxa"/>
        <w:gridCol w:w="50" w:type="dxa"/>
        <w:gridCol w:w="2400" w:type="dxa"/>
      </w:tblGrid>
      <w:tblPr>
        <w:tblW w:w="5000" w:type="pct"/>
        <w:tblCellSpacing w:w="0" w:type="dxa"/>
        <w:tblLayout w:type="autofit"/>
      </w:tblPr>
      <w:tr>
        <w:trPr/>
        <w:tc>
          <w:tcPr>
            <w:tcW w:w="2500" w:type="pct"/>
            <w:noWrap/>
          </w:tcPr>
          <w:p>
            <w:pPr/>
          </w:p>
        </w:tc>
        <w:tc>
          <w:tcPr>
            <w:tcW w:w="50" w:type="pct"/>
            <w:vAlign w:val="bottom"/>
            <w:noWrap/>
          </w:tcPr>
          <w:p>
            <w:pPr/>
          </w:p>
        </w:tc>
        <w:tc>
          <w:tcPr>
            <w:tcW w:w="2400" w:type="pct"/>
            <w:noWrap/>
          </w:tcPr>
          <w:p>
            <w:pPr/>
          </w:p>
        </w:tc>
      </w:tr>
      <w:tr>
        <w:trPr/>
        <w:tc>
          <w:tcPr>
            <w:tcW w:w="5000" w:type="pct"/>
            <w:vAlign w:val="top"/>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200" w:after="0"/>
      </w:pPr>
      <w:r>
        <w:rPr>
          <w:rFonts w:ascii="Times New Roman" w:hAnsi="Times New Roman" w:eastAsia="Times New Roman" w:cs="Times New Roman"/>
          <w:sz w:val="20"/>
          <w:szCs w:val="20"/>
          <w:b w:val="1"/>
          <w:bCs w:val="1"/>
        </w:rPr>
        <w:t xml:space="preserve">(781) </w:t>
      </w:r>
      <w:r>
        <w:rPr>
          <w:rFonts w:ascii="Times New Roman" w:hAnsi="Times New Roman" w:eastAsia="Times New Roman" w:cs="Times New Roman"/>
          <w:sz w:val="20"/>
          <w:szCs w:val="20"/>
          <w:b w:val="1"/>
          <w:bCs w:val="1"/>
        </w:rPr>
        <w:t xml:space="preserve">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20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 since last report)</w:t>
      </w:r>
    </w:p>
    <w:p>
      <w:pPr>
        <w:jc w:val="start"/>
        <w:spacing w:before="0" w:after="0"/>
      </w:pPr>
      <w:r>
        <w:rPr>
          <w:sz w:val="20"/>
          <w:szCs w:val="20"/>
        </w:rPr>
        <w:t xml:space="preserve"> </w:t>
      </w:r>
    </w:p>
    <w:p>
      <w:pPr>
        <w:jc w:val="center"/>
        <w:spacing w:before="0" w:after="40" w:line="120" w:lineRule="exact"/>
      </w:pPr>
      <w:r>
        <w:rPr/>
        <w:t xml:space="preserve"> </w:t>
      </w:r>
    </w:p>
    <w:p>
      <w:pPr>
        <w:jc w:val="start"/>
        <w:spacing w:before="20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 the registrant under any of the following provisions:</w:t>
      </w:r>
    </w:p>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240.14a-12)</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spacing w:before="200" w:after="0"/>
      </w:pPr>
      <w:r>
        <w:rPr>
          <w:rFonts w:ascii="Times New Roman" w:hAnsi="Times New Roman" w:eastAsia="Times New Roman" w:cs="Times New Roman"/>
          <w:sz w:val="20"/>
          <w:szCs w:val="20"/>
        </w:rPr>
        <w:t xml:space="preserve">Securities registered pursuant to Section 12(b) of the Act:</w:t>
      </w:r>
    </w:p>
    <w:p>
      <w:pPr>
        <w:jc w:val="start"/>
        <w:spacing w:before="0" w:after="0"/>
      </w:pPr>
      <w:r>
        <w:rPr>
          <w:sz w:val="20"/>
          <w:szCs w:val="20"/>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Trading</w:t>
            </w:r>
          </w:p>
          <w:p>
            <w:pPr>
              <w:jc w:val="center"/>
              <w:spacing w:before="0" w:after="20"/>
            </w:pPr>
            <w:r>
              <w:rPr>
                <w:rFonts w:ascii="Times New Roman" w:hAnsi="Times New Roman" w:eastAsia="Times New Roman" w:cs="Times New Roman"/>
                <w:sz w:val="16"/>
                <w:szCs w:val="16"/>
                <w:b w:val="1"/>
                <w:bCs w:val="1"/>
              </w:rPr>
              <w:t xml:space="preserve">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Name of each exchange</w:t>
            </w:r>
          </w:p>
          <w:p>
            <w:pPr>
              <w:jc w:val="center"/>
              <w:spacing w:before="0" w:after="20"/>
            </w:pPr>
            <w:r>
              <w:rPr>
                <w:rFonts w:ascii="Times New Roman" w:hAnsi="Times New Roman" w:eastAsia="Times New Roman" w:cs="Times New Roman"/>
                <w:sz w:val="16"/>
                <w:szCs w:val="16"/>
                <w:b w:val="1"/>
                <w:bCs w:val="1"/>
              </w:rPr>
              <w:t xml:space="preserve">on which registered</w:t>
            </w: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Nasdaq Capital Market</w:t>
            </w:r>
          </w:p>
        </w:tc>
      </w:tr>
    </w:tbl>
    <w:p>
      <w:pPr>
        <w:jc w:val="start"/>
        <w:ind w:left="0" w:right="0" w:firstLine="0" w:hanging="0"/>
        <w:spacing w:before="20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w:t>
      </w:r>
      <w:r>
        <w:rPr>
          <w:rFonts w:ascii="Times New Roman" w:hAnsi="Times New Roman" w:eastAsia="Times New Roman" w:cs="Times New Roman"/>
          <w:sz w:val="20"/>
          <w:szCs w:val="20"/>
        </w:rPr>
        <w:t xml:space="preserve">12b-2</w:t>
      </w:r>
      <w:r>
        <w:rPr>
          <w:rFonts w:ascii="Times New Roman" w:hAnsi="Times New Roman" w:eastAsia="Times New Roman" w:cs="Times New Roman"/>
          <w:sz w:val="20"/>
          <w:szCs w:val="20"/>
        </w:rPr>
        <w:t xml:space="preserve"> of the Securities Exchange Act of 1934 </w:t>
      </w:r>
      <w:r>
        <w:rPr>
          <w:rFonts w:ascii="Times New Roman" w:hAnsi="Times New Roman" w:eastAsia="Times New Roman" w:cs="Times New Roman"/>
          <w:sz w:val="20"/>
          <w:szCs w:val="20"/>
        </w:rPr>
        <w:t xml:space="preserve">(§240.12b-2</w:t>
      </w:r>
      <w:r>
        <w:rPr>
          <w:rFonts w:ascii="Times New Roman" w:hAnsi="Times New Roman" w:eastAsia="Times New Roman" w:cs="Times New Roman"/>
          <w:sz w:val="20"/>
          <w:szCs w:val="20"/>
        </w:rPr>
        <w:t xml:space="preserve"> of this chapter).</w:t>
      </w:r>
    </w:p>
    <w:p>
      <w:pPr>
        <w:jc w:val="start"/>
        <w:ind w:left="0" w:right="0" w:firstLine="0" w:hanging="0"/>
        <w:spacing w:before="200" w:after="0"/>
      </w:pPr>
      <w:r>
        <w:rPr>
          <w:rFonts w:ascii="Times New Roman" w:hAnsi="Times New Roman" w:eastAsia="Times New Roman" w:cs="Times New Roman"/>
          <w:sz w:val="20"/>
          <w:szCs w:val="20"/>
        </w:rPr>
        <w:t xml:space="preserve">Emerging Growth Company  ☐</w:t>
      </w:r>
    </w:p>
    <w:p>
      <w:pPr>
        <w:jc w:val="start"/>
        <w:ind w:left="0" w:right="0" w:firstLine="0" w:hanging="0"/>
        <w:spacing w:before="20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p>
    <w:p>
      <w:pPr>
        <w:jc w:val="start"/>
        <w:spacing w:before="0" w:after="0"/>
      </w:pPr>
      <w:r>
        <w:rPr>
          <w:sz w:val="20"/>
          <w:szCs w:val="20"/>
        </w:rPr>
        <w:t xml:space="preserve"> </w:t>
      </w:r>
    </w:p>
    <w:p>
      <w:pPr>
        <w:jc w:val="start"/>
        <w:spacing w:before="0" w:after="0" w:line="20" w:lineRule="exact"/>
      </w:pPr>
      <w:r>
        <w:rPr/>
        <w:t xml:space="preserve"> </w:t>
      </w:r>
    </w:p>
    <w:p>
      <w:pPr>
        <w:jc w:val="start"/>
        <w:spacing w:before="0" w:after="40" w:line="60" w:lineRule="exact"/>
      </w:pPr>
      <w:r>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2.02</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Results of Operations and Financial Condition. </w:t>
            </w:r>
          </w:p>
        </w:tc>
      </w:tr>
    </w:tbl>
    <w:p>
      <w:pPr>
        <w:jc w:val="start"/>
        <w:spacing w:before="120" w:after="0"/>
      </w:pPr>
      <w:r>
        <w:rPr>
          <w:rFonts w:ascii="Times New Roman" w:hAnsi="Times New Roman" w:eastAsia="Times New Roman" w:cs="Times New Roman"/>
          <w:sz w:val="20"/>
          <w:szCs w:val="20"/>
        </w:rPr>
        <w:t xml:space="preserve">On March 1, 2022, the Company announced via press release its results for the fiscal fourth quarter and year ended December 31, 2021. A copy of the Company’s press release is hereby furnished to the Commission and incorporated herein by reference as Exhibit 99.1. </w:t>
      </w:r>
    </w:p>
    <w:p>
      <w:pPr>
        <w:jc w:val="start"/>
        <w:spacing w:before="240" w:after="0"/>
      </w:pPr>
      <w:r>
        <w:rPr>
          <w:rFonts w:ascii="Times New Roman" w:hAnsi="Times New Roman" w:eastAsia="Times New Roman" w:cs="Times New Roman"/>
          <w:sz w:val="20"/>
          <w:szCs w:val="20"/>
        </w:rPr>
        <w:t xml:space="preserve">The information in the press release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9.01.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Financial Statements and Exhibits. </w:t>
            </w:r>
          </w:p>
        </w:tc>
      </w:tr>
    </w:tbl>
    <w:p>
      <w:pPr>
        <w:jc w:val="start"/>
        <w:spacing w:before="120" w:after="0"/>
      </w:pPr>
      <w:r>
        <w:rPr>
          <w:rFonts w:ascii="Times New Roman" w:hAnsi="Times New Roman" w:eastAsia="Times New Roman" w:cs="Times New Roman"/>
          <w:sz w:val="20"/>
          <w:szCs w:val="20"/>
          <w:b w:val="1"/>
          <w:bCs w:val="1"/>
        </w:rPr>
        <w:t xml:space="preserve">(d) Exhibits </w:t>
      </w:r>
    </w:p>
    <w:p>
      <w:pPr>
        <w:jc w:val="start"/>
        <w:spacing w:before="0" w:after="0"/>
      </w:pPr>
      <w:r>
        <w:rPr>
          <w:sz w:val="24"/>
          <w:szCs w:val="24"/>
        </w:rPr>
        <w:t xml:space="preserve"> </w:t>
      </w:r>
    </w:p>
    <w:tbl>
      <w:tblGrid>
        <w:gridCol w:w="5000" w:type="dxa"/>
        <w:gridCol w:w="200" w:type="dxa"/>
        <w:gridCol w:w="4650" w:type="dxa"/>
      </w:tblGrid>
      <w:tblPr>
        <w:tblW w:w="5000" w:type="pct"/>
        <w:tblCellSpacing w:w="0" w:type="dxa"/>
        <w:tblLayout w:type="autofit"/>
      </w:tblPr>
      <w:tr>
        <w:trPr/>
        <w:tc>
          <w:tcPr>
            <w:tcW w:w="5000" w:type="pct"/>
            <w:noWrap/>
          </w:tcPr>
          <w:p>
            <w:pPr/>
          </w:p>
        </w:tc>
        <w:tc>
          <w:tcPr>
            <w:tcW w:w="200" w:type="pct"/>
            <w:vAlign w:val="bottom"/>
            <w:noWrap/>
          </w:tcPr>
          <w:p>
            <w:pPr/>
          </w:p>
        </w:tc>
        <w:tc>
          <w:tcPr>
            <w:tcW w:w="4650" w:type="pct"/>
            <w:noWrap/>
          </w:tcPr>
          <w:p>
            <w:pPr/>
          </w:p>
        </w:tc>
      </w:tr>
      <w:tr>
        <w:trPr/>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Exhibit</w:t>
            </w:r>
            <w:br/>
            <w:r>
              <w:rPr>
                <w:rFonts w:ascii="Times New Roman" w:hAnsi="Times New Roman" w:eastAsia="Times New Roman" w:cs="Times New Roman"/>
                <w:sz w:val="16"/>
                <w:szCs w:val="16"/>
                <w:b w:val="1"/>
                <w:bCs w:val="1"/>
              </w:rPr>
              <w:t xml:space="preserve">No.</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start"/>
              <w:spacing w:before="0" w:after="0"/>
            </w:pPr>
            <w:r>
              <w:rPr>
                <w:rFonts w:ascii="Times New Roman" w:hAnsi="Times New Roman" w:eastAsia="Times New Roman" w:cs="Times New Roman"/>
                <w:sz w:val="16"/>
                <w:szCs w:val="16"/>
                <w:b w:val="1"/>
                <w:bCs w:val="1"/>
              </w:rPr>
              <w:t xml:space="preserve">Description</w:t>
            </w:r>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99.1</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7" w:history="1">
              <w:r>
                <w:rPr/>
                <w:t xml:space="preserve">Press release dated March 1, 2022. </w:t>
              </w:r>
            </w:hyperlink>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104</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r>
              <w:rPr>
                <w:rFonts w:ascii="Times New Roman" w:hAnsi="Times New Roman" w:eastAsia="Times New Roman" w:cs="Times New Roman"/>
                <w:sz w:val="20"/>
                <w:szCs w:val="20"/>
              </w:rPr>
              <w:t xml:space="preserve">Cover Page Interactive Data File (embedded within the Inline XBRL document)</w:t>
            </w:r>
          </w:p>
        </w:tc>
      </w:tr>
    </w:tbl>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 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top"/>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2000" w:type="pct"/>
            <w:vAlign w:val="top"/>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top"/>
            <w:noWrap/>
          </w:tcPr>
          <w:p>
            <w:pPr/>
            <w:r>
              <w:rPr>
                <w:rFonts w:ascii="Times New Roman" w:hAnsi="Times New Roman" w:eastAsia="Times New Roman" w:cs="Times New Roman"/>
                <w:sz w:val="20"/>
                <w:szCs w:val="20"/>
              </w:rPr>
              <w:t xml:space="preserve">Lori Freedman</w:t>
            </w:r>
          </w:p>
        </w:tc>
      </w:tr>
      <w:tr>
        <w:trPr/>
        <w:tc>
          <w:tcPr>
            <w:tcW w:w="2000" w:type="pct"/>
            <w:vAlign w:val="top"/>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top"/>
            <w:noWrap/>
          </w:tcPr>
          <w:p>
            <w:pPr/>
            <w:r>
              <w:rPr>
                <w:rFonts w:ascii="Times New Roman" w:hAnsi="Times New Roman" w:eastAsia="Times New Roman" w:cs="Times New Roman"/>
                <w:sz w:val="20"/>
                <w:szCs w:val="20"/>
              </w:rPr>
              <w:t xml:space="preserve">Vice President and General Counsel</w:t>
            </w:r>
          </w:p>
        </w:tc>
      </w:tr>
    </w:tbl>
    <w:p>
      <w:pPr>
        <w:jc w:val="start"/>
        <w:spacing w:before="240" w:after="0"/>
      </w:pPr>
      <w:r>
        <w:rPr>
          <w:rFonts w:ascii="Times New Roman" w:hAnsi="Times New Roman" w:eastAsia="Times New Roman" w:cs="Times New Roman"/>
          <w:sz w:val="20"/>
          <w:szCs w:val="20"/>
        </w:rPr>
        <w:t xml:space="preserve">Date: March 1, 2022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325515dex99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2026-08-07T07:23:53-04:00</dcterms:created>
  <dcterms:modified xsi:type="dcterms:W3CDTF">2026-08-07T07:23:53-04:00</dcterms:modified>
</cp:coreProperties>
</file>

<file path=docProps/custom.xml><?xml version="1.0" encoding="utf-8"?>
<Properties xmlns="http://schemas.openxmlformats.org/officeDocument/2006/custom-properties" xmlns:vt="http://schemas.openxmlformats.org/officeDocument/2006/docPropsVTypes"/>
</file>