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60" w:after="0"/>
      </w:pPr>
      <w:r>
        <w:rPr>
          <w:rFonts w:ascii="Times New Roman" w:hAnsi="Times New Roman" w:eastAsia="Times New Roman" w:cs="Times New Roman"/>
          <w:sz w:val="24"/>
          <w:szCs w:val="24"/>
          <w:b w:val="1"/>
          <w:bCs w:val="1"/>
        </w:rPr>
        <w:t xml:space="preserve">Date of Report (Date of Earliest Event Reported): June 20, 2024</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6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6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changed since last report)</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16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16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spacing w:before="16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160" w:after="0"/>
      </w:pPr>
      <w:r>
        <w:rPr>
          <w:rFonts w:ascii="Times New Roman" w:hAnsi="Times New Roman" w:eastAsia="Times New Roman" w:cs="Times New Roman"/>
          <w:sz w:val="20"/>
          <w:szCs w:val="20"/>
        </w:rPr>
        <w:t xml:space="preserve">Emerging Growth Company ☐</w:t>
      </w:r>
    </w:p>
    <w:p>
      <w:pPr>
        <w:jc w:val="start"/>
        <w:spacing w:before="16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rPr>
        <w:t xml:space="preserve">As set forth below in Item 5.07, our stockholders approved an amendment to the 2018 Equity Incentive Plan of Organogenesis Holdings Inc. (the “Company”) at the 2024 Annual Meeting of Stockholders held on June 20, 2024 (the “Annual Meeting”) to increase the number of shares of Class A common stock reserved for issuance thereunder by 15,900,000 shares. A description of the material terms of the 2018 Equity Incentive Plan is set forth in the Company’s definitive proxy statement relating to the Annual Meeting filed with the Securities and Exchange Commission on April 29, 2024. A copy of the amended plan is filed as Exhibit 10.1 to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5.07.</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Submission of Matters to a Vote of Security Holders. </w:t>
            </w:r>
          </w:p>
        </w:tc>
      </w:tr>
    </w:tbl>
    <w:p>
      <w:pPr>
        <w:jc w:val="start"/>
        <w:spacing w:before="120" w:after="0"/>
      </w:pPr>
      <w:r>
        <w:rPr>
          <w:rFonts w:ascii="Times New Roman" w:hAnsi="Times New Roman" w:eastAsia="Times New Roman" w:cs="Times New Roman"/>
          <w:sz w:val="20"/>
          <w:szCs w:val="20"/>
        </w:rPr>
        <w:t xml:space="preserve">At the Annual Meeting, four proposals were submitted to, and approved by, our stockholders. The holders of 109,048,425 shares of our Class A common stock were present or represented by proxy at the meeting. The proposals are described in detail in our definitive proxy statement for the 2024 Annual Meeting filed with the Securities and Exchange Commission on April 29, 2024. The final results for the votes for each proposal are set forth below. </w:t>
      </w:r>
    </w:p>
    <w:p>
      <w:pPr>
        <w:jc w:val="start"/>
        <w:spacing w:before="240" w:after="0"/>
      </w:pPr>
      <w:r>
        <w:rPr>
          <w:rFonts w:ascii="Times New Roman" w:hAnsi="Times New Roman" w:eastAsia="Times New Roman" w:cs="Times New Roman"/>
          <w:sz w:val="20"/>
          <w:szCs w:val="20"/>
        </w:rPr>
        <w:t xml:space="preserve">At the Annual Meeting, each of Alan A. Ades, Robert Ades, Michael J. Driscoll, Prathyusha Duraibabu, David Erani, Jon Giacomin, Gary S. Gillheeney, Sr., Michele Korfin, Arthur S. Leibowitz, Glenn H. Nussdorf and Gilberto Quintero was elected as a Director of the Company, to serve until the next Annual Meeting of Stockholders and until their successors are elected and qualified. The votes cast in the election of the directors were as follows: </w:t>
      </w:r>
    </w:p>
    <w:p>
      <w:pPr>
        <w:jc w:val="start"/>
        <w:spacing w:before="0" w:after="0"/>
      </w:pPr>
      <w:r>
        <w:rPr>
          <w:sz w:val="24"/>
          <w:szCs w:val="24"/>
        </w:rPr>
        <w:t xml:space="preserve"> </w:t>
      </w:r>
    </w:p>
    <w:tbl>
      <w:tblGrid>
        <w:gridCol w:w="3200" w:type="dxa"/>
        <w:gridCol w:w="100" w:type="dxa"/>
        <w:gridCol w:w="4200" w:type="dxa"/>
        <w:gridCol w:w="4200" w:type="dxa"/>
        <w:gridCol w:w="4200" w:type="dxa"/>
        <w:gridCol w:w="100" w:type="dxa"/>
        <w:gridCol w:w="4200" w:type="dxa"/>
        <w:gridCol w:w="4200" w:type="dxa"/>
        <w:gridCol w:w="4200" w:type="dxa"/>
        <w:gridCol w:w="100" w:type="dxa"/>
        <w:gridCol w:w="4200" w:type="dxa"/>
        <w:gridCol w:w="4200" w:type="dxa"/>
        <w:gridCol w:w="4200" w:type="dxa"/>
      </w:tblGrid>
      <w:tblPr>
        <w:tblW w:w="4200" w:type="pct"/>
        <w:tblCellSpacing w:w="0" w:type="dxa"/>
        <w:tblLayout w:type="autofit"/>
      </w:tblPr>
      <w:tr>
        <w:trPr/>
        <w:tc>
          <w:tcPr>
            <w:tcW w:w="3200" w:type="pct"/>
            <w:noWrap/>
          </w:tcPr>
          <w:p>
            <w:pPr/>
          </w:p>
        </w:tc>
        <w:tc>
          <w:tcPr>
            <w:tcW w:w="100" w:type="pct"/>
            <w:vAlign w:val="bottom"/>
            <w:noWrap/>
          </w:tcPr>
          <w:p>
            <w:pPr/>
          </w:p>
        </w:tc>
        <w:tc>
          <w:tcPr>
            <w:tcW w:w="4200" w:type="pct"/>
            <w:noWrap/>
          </w:tcPr>
          <w:p>
            <w:pPr/>
          </w:p>
        </w:tc>
        <w:tc>
          <w:tcPr>
            <w:tcW w:w="4200" w:type="pct"/>
            <w:noWrap/>
          </w:tcPr>
          <w:p>
            <w:pPr/>
          </w:p>
        </w:tc>
        <w:tc>
          <w:tcPr>
            <w:tcW w:w="4200" w:type="pct"/>
            <w:noWrap/>
          </w:tcPr>
          <w:p>
            <w:pPr/>
          </w:p>
        </w:tc>
        <w:tc>
          <w:tcPr>
            <w:tcW w:w="100" w:type="pct"/>
            <w:vAlign w:val="bottom"/>
            <w:noWrap/>
          </w:tcPr>
          <w:p>
            <w:pPr/>
          </w:p>
        </w:tc>
        <w:tc>
          <w:tcPr>
            <w:tcW w:w="4200" w:type="pct"/>
            <w:noWrap/>
          </w:tcPr>
          <w:p>
            <w:pPr/>
          </w:p>
        </w:tc>
        <w:tc>
          <w:tcPr>
            <w:tcW w:w="4200" w:type="pct"/>
            <w:noWrap/>
          </w:tcPr>
          <w:p>
            <w:pPr/>
          </w:p>
        </w:tc>
        <w:tc>
          <w:tcPr>
            <w:tcW w:w="4200" w:type="pct"/>
            <w:noWrap/>
          </w:tcPr>
          <w:p>
            <w:pPr/>
          </w:p>
        </w:tc>
        <w:tc>
          <w:tcPr>
            <w:tcW w:w="100" w:type="pct"/>
            <w:vAlign w:val="bottom"/>
            <w:noWrap/>
          </w:tcPr>
          <w:p>
            <w:pPr/>
          </w:p>
        </w:tc>
        <w:tc>
          <w:tcPr>
            <w:tcW w:w="4200" w:type="pct"/>
            <w:noWrap/>
          </w:tcPr>
          <w:p>
            <w:pPr/>
          </w:p>
        </w:tc>
        <w:tc>
          <w:tcPr>
            <w:tcW w:w="4200" w:type="pct"/>
            <w:noWrap/>
          </w:tcPr>
          <w:p>
            <w:pPr/>
          </w:p>
        </w:tc>
        <w:tc>
          <w:tcPr>
            <w:tcW w:w="4200" w:type="pct"/>
            <w:noWrap/>
          </w:tcPr>
          <w:p>
            <w:pPr/>
          </w:p>
        </w:tc>
      </w:tr>
      <w:tr>
        <w:trPr/>
        <w:tc>
          <w:tcPr>
            <w:tcW w:w="4200" w:type="pct"/>
            <w:vAlign w:val="bottom"/>
            <w:noWrap/>
          </w:tcPr>
          <w:p>
            <w:pPr>
              <w:jc w:val="start"/>
              <w:spacing w:before="0" w:after="0"/>
            </w:pPr>
            <w:r>
              <w:rPr>
                <w:rFonts w:ascii="Times New Roman" w:hAnsi="Times New Roman" w:eastAsia="Times New Roman" w:cs="Times New Roman"/>
                <w:sz w:val="16"/>
                <w:szCs w:val="16"/>
                <w:b w:val="1"/>
                <w:bCs w:val="1"/>
              </w:rPr>
              <w:t xml:space="preserve">Nominee</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Votes Withheld</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200" w:type="pct"/>
            <w:vAlign w:val="bottom"/>
            <w:noWrap/>
          </w:tcPr>
          <w:p>
            <w:pPr/>
            <w:r>
              <w:rPr>
                <w:rFonts w:ascii="Times New Roman" w:hAnsi="Times New Roman" w:eastAsia="Times New Roman" w:cs="Times New Roman"/>
                <w:sz w:val="16"/>
                <w:szCs w:val="16"/>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Alan A. Ades</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44,361,234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25,365,493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Robert Ades</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65,769,950</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3,956,777</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39,321,698</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Michael J. Driscoll</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66,546,984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3,179,743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Prathyusha Duraibabu</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52,014,570</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17,712,157</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39,321,698</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David Erani</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65,656,037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4,070,690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Jon Giacomin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48,809,651</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20,917,076</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39,321,698</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Gary S. Gillheeney, Sr.</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68,401,486</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1,325,241</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Michele Korfin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68,290,354</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1,436,373</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39,321,698</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Arthur S. Leibowitz</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45,016,989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24,709,738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Glenn H. Nussdorf</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41,532,395</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28,194,332</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39,321,698</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Gilberto Quintero</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52,103,972</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17,622,755</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on an advisory basis, the compensation paid to our named executive officers. The votes cast on this proposal were as follows: </w:t>
      </w:r>
    </w:p>
    <w:p>
      <w:pPr>
        <w:jc w:val="start"/>
        <w:spacing w:before="0" w:after="0"/>
      </w:pPr>
      <w:r>
        <w:rPr>
          <w:sz w:val="24"/>
          <w:szCs w:val="24"/>
        </w:rPr>
        <w:t xml:space="preserve"> </w:t>
      </w:r>
    </w:p>
    <w:tbl>
      <w:tblGrid>
        <w:gridCol w:w="295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gridCol w:w="100" w:type="dxa"/>
        <w:gridCol w:w="4600" w:type="dxa"/>
        <w:gridCol w:w="4600" w:type="dxa"/>
        <w:gridCol w:w="4600" w:type="dxa"/>
      </w:tblGrid>
      <w:tblPr>
        <w:tblW w:w="4600" w:type="pct"/>
        <w:tblCellSpacing w:w="0" w:type="dxa"/>
        <w:tblLayout w:type="autofit"/>
      </w:tblPr>
      <w:tr>
        <w:trPr/>
        <w:tc>
          <w:tcPr>
            <w:tcW w:w="295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0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on an advisory basis, the compensation paid to our named executive officers.</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63,842,175</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5,876,101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8,451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2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At the Annual Meeting, our stockholders also approved an amendment to our 2018 Equity Incentive Plan to increase the number of shares of Class A common stock reserved for issuance thereunder by 15,900,000 shares. The votes cast on this proposal were as follows: </w:t>
      </w:r>
    </w:p>
    <w:p>
      <w:pPr>
        <w:jc w:val="start"/>
        <w:spacing w:before="0" w:after="0"/>
      </w:pPr>
      <w:r>
        <w:rPr>
          <w:sz w:val="24"/>
          <w:szCs w:val="24"/>
        </w:rPr>
        <w:t xml:space="preserve"> </w:t>
      </w:r>
    </w:p>
    <w:tbl>
      <w:tblGrid>
        <w:gridCol w:w="280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tblGrid>
      <w:tblPr>
        <w:tblW w:w="4600" w:type="pct"/>
        <w:tblCellSpacing w:w="0" w:type="dxa"/>
        <w:tblLayout w:type="autofit"/>
      </w:tblPr>
      <w:tr>
        <w:trPr/>
        <w:tc>
          <w:tcPr>
            <w:tcW w:w="28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an amendment to our 2018 Equity Incentive Plan to increase the number of shares of Class A common stock reserved for issuance thereunder by 15,900,000 shares.</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51,978,000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17,706,847</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41,880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39,321,698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the proposal to ratify the appointment of RSM US LLP as our independent registered public accounting firm for our fiscal year ending on December 31, 2024. The votes cast on this proposal were as follows: </w:t>
      </w:r>
    </w:p>
    <w:p>
      <w:pPr>
        <w:jc w:val="start"/>
        <w:spacing w:before="0" w:after="0"/>
      </w:pPr>
      <w:r>
        <w:rPr>
          <w:sz w:val="24"/>
          <w:szCs w:val="24"/>
        </w:rPr>
        <w:t xml:space="preserve"> </w:t>
      </w:r>
    </w:p>
    <w:tbl>
      <w:tblGrid>
        <w:gridCol w:w="3050" w:type="dxa"/>
        <w:gridCol w:w="200" w:type="dxa"/>
        <w:gridCol w:w="4600" w:type="dxa"/>
        <w:gridCol w:w="4600" w:type="dxa"/>
        <w:gridCol w:w="4600" w:type="dxa"/>
        <w:gridCol w:w="200" w:type="dxa"/>
        <w:gridCol w:w="4600" w:type="dxa"/>
        <w:gridCol w:w="4600" w:type="dxa"/>
        <w:gridCol w:w="4600" w:type="dxa"/>
        <w:gridCol w:w="200" w:type="dxa"/>
        <w:gridCol w:w="4600" w:type="dxa"/>
        <w:gridCol w:w="4600" w:type="dxa"/>
        <w:gridCol w:w="4600" w:type="dxa"/>
        <w:gridCol w:w="150" w:type="dxa"/>
        <w:gridCol w:w="4600" w:type="dxa"/>
        <w:gridCol w:w="4600" w:type="dxa"/>
        <w:gridCol w:w="4600" w:type="dxa"/>
      </w:tblGrid>
      <w:tblPr>
        <w:tblW w:w="4600" w:type="pct"/>
        <w:tblCellSpacing w:w="0" w:type="dxa"/>
        <w:tblLayout w:type="autofit"/>
      </w:tblPr>
      <w:tr>
        <w:trPr/>
        <w:tc>
          <w:tcPr>
            <w:tcW w:w="3050" w:type="pct"/>
            <w:noWrap/>
          </w:tcPr>
          <w:p>
            <w:pPr/>
          </w:p>
        </w:tc>
        <w:tc>
          <w:tcPr>
            <w:tcW w:w="200" w:type="pct"/>
            <w:vAlign w:val="bottom"/>
            <w:noWrap/>
          </w:tcPr>
          <w:p>
            <w:pPr/>
          </w:p>
        </w:tc>
        <w:tc>
          <w:tcPr>
            <w:tcW w:w="4600" w:type="pct"/>
            <w:noWrap/>
          </w:tcPr>
          <w:p>
            <w:pPr/>
          </w:p>
        </w:tc>
        <w:tc>
          <w:tcPr>
            <w:tcW w:w="4600" w:type="pct"/>
            <w:noWrap/>
          </w:tcPr>
          <w:p>
            <w:pPr/>
          </w:p>
        </w:tc>
        <w:tc>
          <w:tcPr>
            <w:tcW w:w="4600" w:type="pct"/>
            <w:noWrap/>
          </w:tcPr>
          <w:p>
            <w:pPr/>
          </w:p>
        </w:tc>
        <w:tc>
          <w:tcPr>
            <w:tcW w:w="200" w:type="pct"/>
            <w:vAlign w:val="bottom"/>
            <w:noWrap/>
          </w:tcPr>
          <w:p>
            <w:pPr/>
          </w:p>
        </w:tc>
        <w:tc>
          <w:tcPr>
            <w:tcW w:w="4600" w:type="pct"/>
            <w:noWrap/>
          </w:tcPr>
          <w:p>
            <w:pPr/>
          </w:p>
        </w:tc>
        <w:tc>
          <w:tcPr>
            <w:tcW w:w="4600" w:type="pct"/>
            <w:noWrap/>
          </w:tcPr>
          <w:p>
            <w:pPr/>
          </w:p>
        </w:tc>
        <w:tc>
          <w:tcPr>
            <w:tcW w:w="4600" w:type="pct"/>
            <w:noWrap/>
          </w:tcPr>
          <w:p>
            <w:pPr/>
          </w:p>
        </w:tc>
        <w:tc>
          <w:tcPr>
            <w:tcW w:w="20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ratify the appointment of RSM US LLP as the Company’s independent registered public accounting firm for fiscal year 2024.</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106,438,134</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2,563,202</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47,089</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p>
          <w:p>
            <w:pPr>
              <w:jc w:val="center"/>
              <w:spacing w:before="0" w:after="20"/>
            </w:pPr>
            <w:r>
              <w:rPr>
                <w:rFonts w:ascii="Times New Roman" w:hAnsi="Times New Roman" w:eastAsia="Times New Roman" w:cs="Times New Roman"/>
                <w:sz w:val="16"/>
                <w:szCs w:val="16"/>
                <w:b w:val="1"/>
                <w:bCs w:val="1"/>
              </w:rPr>
              <w:t xml:space="preserve">  No.  </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2018 Equity Incentive Plan (as amended)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3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June 21, 2024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826313dex1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2026-08-07T06:17:12-04:00</dcterms:created>
  <dcterms:modified xsi:type="dcterms:W3CDTF">2026-08-07T06:17:12-04:00</dcterms:modified>
</cp:coreProperties>
</file>

<file path=docProps/custom.xml><?xml version="1.0" encoding="utf-8"?>
<Properties xmlns="http://schemas.openxmlformats.org/officeDocument/2006/custom-properties" xmlns:vt="http://schemas.openxmlformats.org/officeDocument/2006/docPropsVTypes"/>
</file>