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vanish w:val="1"/>
        </w:rPr>
        <w:t xml:space="preserve">  </w:t>
      </w:r>
    </w:p>
    <w:p>
      <w:pPr>
        <w:jc w:val="start"/>
        <w:spacing w:before="0" w:after="0" w:line="20" w:lineRule="exact"/>
      </w:pPr>
      <w:r>
        <w:rPr/>
        <w:t xml:space="preserve"> </w:t>
      </w:r>
    </w:p>
    <w:p>
      <w:pPr>
        <w:jc w:val="start"/>
        <w:spacing w:before="0" w:after="40" w:line="60" w:lineRule="exact"/>
      </w:pPr>
      <w:r>
        <w:rPr/>
        <w:t xml:space="preserve"> </w:t>
      </w:r>
    </w:p>
    <w:p>
      <w:pPr>
        <w:jc w:val="center"/>
        <w:spacing w:before="160" w:after="0"/>
      </w:pPr>
      <w:r>
        <w:rPr>
          <w:rFonts w:ascii="Times New Roman" w:hAnsi="Times New Roman" w:eastAsia="Times New Roman" w:cs="Times New Roman"/>
          <w:sz w:val="36"/>
          <w:szCs w:val="36"/>
          <w:b w:val="1"/>
          <w:bCs w:val="1"/>
        </w:rPr>
        <w:t xml:space="preserve">UNITED STATES</w:t>
      </w:r>
    </w:p>
    <w:p>
      <w:pPr>
        <w:jc w:val="center"/>
        <w:spacing w:before="0" w:after="0"/>
      </w:pPr>
      <w:r>
        <w:rPr>
          <w:rFonts w:ascii="Times New Roman" w:hAnsi="Times New Roman" w:eastAsia="Times New Roman" w:cs="Times New Roman"/>
          <w:sz w:val="36"/>
          <w:szCs w:val="36"/>
          <w:b w:val="1"/>
          <w:bCs w:val="1"/>
        </w:rPr>
        <w:t xml:space="preserve">SECURITIES AND EXCHANGE COMMISSION</w:t>
      </w:r>
    </w:p>
    <w:p>
      <w:pPr>
        <w:jc w:val="center"/>
        <w:spacing w:before="0" w:after="0"/>
      </w:pPr>
      <w:r>
        <w:rPr>
          <w:rFonts w:ascii="Times New Roman" w:hAnsi="Times New Roman" w:eastAsia="Times New Roman" w:cs="Times New Roman"/>
          <w:sz w:val="24"/>
          <w:szCs w:val="24"/>
          <w:b w:val="1"/>
          <w:bCs w:val="1"/>
        </w:rPr>
        <w:t xml:space="preserve">Washington, D.C. 20549</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24"/>
          <w:szCs w:val="24"/>
          <w:b w:val="1"/>
          <w:bCs w:val="1"/>
        </w:rPr>
        <w:t xml:space="preserve">CURRENT REPORT</w:t>
      </w:r>
    </w:p>
    <w:p>
      <w:pPr>
        <w:jc w:val="center"/>
        <w:spacing w:before="0" w:after="0"/>
      </w:pPr>
      <w:r>
        <w:rPr>
          <w:rFonts w:ascii="Times New Roman" w:hAnsi="Times New Roman" w:eastAsia="Times New Roman" w:cs="Times New Roman"/>
          <w:sz w:val="24"/>
          <w:szCs w:val="24"/>
          <w:b w:val="1"/>
          <w:bCs w:val="1"/>
        </w:rPr>
        <w:t xml:space="preserve">Pursuant to Section 13 or 15(d)</w:t>
      </w:r>
    </w:p>
    <w:p>
      <w:pPr>
        <w:jc w:val="center"/>
        <w:spacing w:before="0" w:after="0"/>
      </w:pPr>
      <w:r>
        <w:rPr>
          <w:rFonts w:ascii="Times New Roman" w:hAnsi="Times New Roman" w:eastAsia="Times New Roman" w:cs="Times New Roman"/>
          <w:sz w:val="24"/>
          <w:szCs w:val="24"/>
          <w:b w:val="1"/>
          <w:bCs w:val="1"/>
        </w:rPr>
        <w:t xml:space="preserve">of the Securities Exchange Act of 1934</w:t>
      </w:r>
    </w:p>
    <w:p>
      <w:pPr>
        <w:jc w:val="center"/>
        <w:spacing w:before="160" w:after="0"/>
      </w:pPr>
      <w:r>
        <w:rPr>
          <w:rFonts w:ascii="Times New Roman" w:hAnsi="Times New Roman" w:eastAsia="Times New Roman" w:cs="Times New Roman"/>
          <w:sz w:val="24"/>
          <w:szCs w:val="24"/>
          <w:b w:val="1"/>
          <w:bCs w:val="1"/>
        </w:rPr>
        <w:t xml:space="preserve">Date of Report (Date of Earliest Event Reported): March 27, 2025</w:t>
      </w:r>
    </w:p>
    <w:p>
      <w:pPr>
        <w:jc w:val="start"/>
        <w:spacing w:before="0" w:after="0"/>
      </w:pPr>
      <w:r>
        <w:rPr>
          <w:sz w:val="16"/>
          <w:szCs w:val="16"/>
        </w:rPr>
        <w:t xml:space="preserve"> </w:t>
      </w:r>
    </w:p>
    <w:p>
      <w:pPr>
        <w:jc w:val="center"/>
        <w:spacing w:before="0" w:after="40" w:line="120" w:lineRule="exact"/>
      </w:pPr>
      <w:r>
        <w:rPr/>
        <w:t xml:space="preserve"> </w:t>
      </w:r>
    </w:p>
    <w:p>
      <w:pPr>
        <w:jc w:val="center"/>
        <w:spacing w:before="160" w:after="0"/>
      </w:pPr>
      <w:r>
        <w:rPr>
          <w:rFonts w:ascii="Times New Roman" w:hAnsi="Times New Roman" w:eastAsia="Times New Roman" w:cs="Times New Roman"/>
          <w:sz w:val="48"/>
          <w:szCs w:val="48"/>
          <w:b w:val="1"/>
          <w:bCs w:val="1"/>
        </w:rPr>
        <w:t xml:space="preserve"> 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bl>
    <w:p>
      <w:pPr>
        <w:jc w:val="start"/>
        <w:spacing w:before="0" w:after="0"/>
      </w:pPr>
      <w:r>
        <w:rPr>
          <w:sz w:val="16"/>
          <w:szCs w:val="16"/>
        </w:rPr>
        <w:t xml:space="preserve"> </w:t>
      </w:r>
    </w:p>
    <w:tbl>
      <w:tblGrid>
        <w:gridCol w:w="1700" w:type="dxa"/>
        <w:gridCol w:w="5000" w:type="dxa"/>
        <w:gridCol w:w="1650" w:type="dxa"/>
        <w:gridCol w:w="5000" w:type="dxa"/>
        <w:gridCol w:w="1550" w:type="dxa"/>
      </w:tblGrid>
      <w:tblPr>
        <w:tblW w:w="5000" w:type="pct"/>
        <w:tblCellSpacing w:w="0" w:type="dxa"/>
        <w:tblLayout w:type="autofit"/>
      </w:tblPr>
      <w:tr>
        <w:trPr/>
        <w:tc>
          <w:tcPr>
            <w:tcW w:w="1700" w:type="pct"/>
            <w:noWrap/>
          </w:tcPr>
          <w:p>
            <w:pPr/>
          </w:p>
        </w:tc>
        <w:tc>
          <w:tcPr>
            <w:tcW w:w="5000" w:type="pct"/>
            <w:vAlign w:val="bottom"/>
            <w:noWrap/>
          </w:tcPr>
          <w:p>
            <w:pPr/>
          </w:p>
        </w:tc>
        <w:tc>
          <w:tcPr>
            <w:tcW w:w="1650" w:type="pct"/>
            <w:noWrap/>
          </w:tcPr>
          <w:p>
            <w:pPr/>
          </w:p>
        </w:tc>
        <w:tc>
          <w:tcPr>
            <w:tcW w:w="5000" w:type="pct"/>
            <w:vAlign w:val="bottom"/>
            <w:noWrap/>
          </w:tcPr>
          <w:p>
            <w:pPr/>
          </w:p>
        </w:tc>
        <w:tc>
          <w:tcPr>
            <w:tcW w:w="15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16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w:t>
      </w:r>
    </w:p>
    <w:p>
      <w:pPr>
        <w:jc w:val="center"/>
        <w:spacing w:before="160" w:after="0"/>
      </w:pPr>
      <w:r>
        <w:rPr>
          <w:rFonts w:ascii="Times New Roman" w:hAnsi="Times New Roman" w:eastAsia="Times New Roman" w:cs="Times New Roman"/>
          <w:sz w:val="20"/>
          <w:szCs w:val="20"/>
          <w:b w:val="1"/>
          <w:bCs w:val="1"/>
        </w:rPr>
        <w:t xml:space="preserve">Not Applicable</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w:t>
      </w:r>
    </w:p>
    <w:p>
      <w:pPr>
        <w:jc w:val="start"/>
        <w:spacing w:before="0" w:after="0"/>
      </w:pPr>
      <w:r>
        <w:rPr>
          <w:sz w:val="16"/>
          <w:szCs w:val="16"/>
        </w:rPr>
        <w:t xml:space="preserve"> </w:t>
      </w:r>
    </w:p>
    <w:p>
      <w:pPr>
        <w:jc w:val="center"/>
        <w:spacing w:before="0" w:after="40" w:line="120" w:lineRule="exact"/>
      </w:pPr>
      <w:r>
        <w:rPr/>
        <w:t xml:space="preserve"> </w:t>
      </w:r>
    </w:p>
    <w:p>
      <w:pPr>
        <w:jc w:val="start"/>
        <w:spacing w:before="16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 the registrant under any of the following provisions:</w:t>
      </w:r>
    </w:p>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5000" w:type="dxa"/>
      </w:tblGrid>
      <w:tblPr>
        <w:tblW w:w="5000" w:type="pct"/>
        <w:tblCellSpacing w:w="0" w:type="dxa"/>
        <w:tblLayout w:type="autofit"/>
      </w:tblPr>
      <w:tr>
        <w:trPr/>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spacing w:before="160" w:after="0"/>
      </w:pPr>
      <w:r>
        <w:rPr>
          <w:rFonts w:ascii="Times New Roman" w:hAnsi="Times New Roman" w:eastAsia="Times New Roman" w:cs="Times New Roman"/>
          <w:sz w:val="20"/>
          <w:szCs w:val="20"/>
        </w:rPr>
        <w:t xml:space="preserve">Securities registered pursuant to Section 12(b) of the Act:</w:t>
      </w:r>
    </w:p>
    <w:p>
      <w:pPr>
        <w:jc w:val="start"/>
        <w:spacing w:before="0" w:after="0"/>
      </w:pPr>
      <w:r>
        <w:rPr>
          <w:sz w:val="16"/>
          <w:szCs w:val="16"/>
        </w:rPr>
        <w:t xml:space="preserve"> </w:t>
      </w:r>
    </w:p>
    <w:tbl>
      <w:tblGrid>
        <w:gridCol w:w="1700" w:type="dxa"/>
        <w:gridCol w:w="5000" w:type="dxa"/>
        <w:gridCol w:w="1600" w:type="dxa"/>
        <w:gridCol w:w="50" w:type="dxa"/>
        <w:gridCol w:w="1600" w:type="dxa"/>
      </w:tblGrid>
      <w:tblPr>
        <w:tblW w:w="5000" w:type="pct"/>
        <w:tblCellSpacing w:w="0" w:type="dxa"/>
        <w:tblLayout w:type="autofit"/>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Title of each class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Trading</w:t>
            </w:r>
            <w:br/>
            <w:r>
              <w:rPr>
                <w:rFonts w:ascii="Times New Roman" w:hAnsi="Times New Roman" w:eastAsia="Times New Roman" w:cs="Times New Roman"/>
                <w:sz w:val="16"/>
                <w:szCs w:val="16"/>
                <w:b w:val="1"/>
                <w:bCs w:val="1"/>
              </w:rPr>
              <w:t xml:space="preserve">Symbol(s)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center"/>
              <w:spacing w:before="0" w:after="20"/>
            </w:pPr>
            <w:r>
              <w:rPr>
                <w:rFonts w:ascii="Times New Roman" w:hAnsi="Times New Roman" w:eastAsia="Times New Roman" w:cs="Times New Roman"/>
                <w:sz w:val="16"/>
                <w:szCs w:val="16"/>
                <w:b w:val="1"/>
                <w:bCs w:val="1"/>
              </w:rPr>
              <w:t xml:space="preserve">Name of each exchange</w:t>
            </w:r>
            <w:br/>
            <w:r>
              <w:rPr>
                <w:rFonts w:ascii="Times New Roman" w:hAnsi="Times New Roman" w:eastAsia="Times New Roman" w:cs="Times New Roman"/>
                <w:sz w:val="16"/>
                <w:szCs w:val="16"/>
                <w:b w:val="1"/>
                <w:bCs w:val="1"/>
              </w:rPr>
              <w:t xml:space="preserve">on which registered</w:t>
            </w:r>
          </w:p>
        </w:tc>
      </w:tr>
      <w:tr>
        <w:trPr/>
        <w:tc>
          <w:tcPr>
            <w:tcW w:w="5000" w:type="pct"/>
            <w:vAlign w:val="top"/>
            <w:noWrap/>
          </w:tcPr>
          <w:p>
            <w:pPr>
              <w:jc w:val="center"/>
            </w:pPr>
            <w:r>
              <w:rPr>
                <w:rFonts w:ascii="Times New Roman" w:hAnsi="Times New Roman" w:eastAsia="Times New Roman" w:cs="Times New Roman"/>
                <w:sz w:val="20"/>
                <w:szCs w:val="20"/>
              </w:rPr>
              <w:t xml:space="preserve">Class A Common Stock, $0.0001 par value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ORGO</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rPr>
              <w:t xml:space="preserve">Nasdaq Capital Market</w:t>
            </w:r>
          </w:p>
        </w:tc>
      </w:tr>
    </w:tbl>
    <w:p>
      <w:pPr>
        <w:jc w:val="start"/>
        <w:ind w:left="0" w:right="0" w:firstLine="0" w:hanging="0"/>
        <w:spacing w:before="16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 (§230.405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w:t>
      </w:r>
    </w:p>
    <w:p>
      <w:pPr>
        <w:jc w:val="start"/>
        <w:ind w:left="0" w:right="0" w:firstLine="0" w:hanging="0"/>
        <w:spacing w:before="160" w:after="0"/>
      </w:pPr>
      <w:r>
        <w:rPr>
          <w:rFonts w:ascii="Times New Roman" w:hAnsi="Times New Roman" w:eastAsia="Times New Roman" w:cs="Times New Roman"/>
          <w:sz w:val="20"/>
          <w:szCs w:val="20"/>
        </w:rPr>
        <w:t xml:space="preserve">Emerging Growth Company ☐</w:t>
      </w:r>
    </w:p>
    <w:p>
      <w:pPr>
        <w:jc w:val="start"/>
        <w:ind w:left="0" w:right="0" w:firstLine="0" w:hanging="0"/>
        <w:spacing w:before="16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 with any new or revised financial accounting standards pursuant to Section 13(a) of the Exchange Act.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spacing w:before="0" w:after="0"/>
      </w:pPr>
      <w:r>
        <w:rPr/>
        <w:t xml:space="preserve"> </w:t>
      </w:r>
    </w:p>
    <w:p>
      <w:pPr>
        <w:spacing w:before="120" w:after="120" w:line="240" w:lineRule="auto"/>
        <w:pBdr>
          <w:bottom w:val="single" w:sz="1" w:color="999999"/>
        </w:pBdr>
      </w:pPr>
      <w:r>
        <w:rPr>
          <w:color w:val="999999"/>
          <w:sz w:val="6"/>
          <w:szCs w:val="6"/>
        </w:rPr>
        <w:t xml:space="preserve"/>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7.01.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Regulation FD Disclosure. </w:t>
            </w:r>
          </w:p>
        </w:tc>
      </w:tr>
    </w:tbl>
    <w:p>
      <w:pPr>
        <w:jc w:val="start"/>
        <w:spacing w:before="120" w:after="0"/>
      </w:pPr>
      <w:r>
        <w:rPr>
          <w:rFonts w:ascii="Times New Roman" w:hAnsi="Times New Roman" w:eastAsia="Times New Roman" w:cs="Times New Roman"/>
          <w:sz w:val="20"/>
          <w:szCs w:val="20"/>
        </w:rPr>
        <w:t xml:space="preserve">On March 27, 2025, Organogenesis Holdings Inc. (the “Company”) posted an investor presentation (the “Investor Presentation”) to its website. A copy of the Investor Presentation is attached to this Current Report on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as Exhibit 99.1. The Investor Presentation is current as of March 27, 2025, and the Company disclaims any obligation to correct or update this material in the future. </w:t>
      </w:r>
    </w:p>
    <w:p>
      <w:pPr>
        <w:jc w:val="start"/>
        <w:spacing w:before="240" w:after="0"/>
      </w:pPr>
      <w:r>
        <w:rPr>
          <w:rFonts w:ascii="Times New Roman" w:hAnsi="Times New Roman" w:eastAsia="Times New Roman" w:cs="Times New Roman"/>
          <w:sz w:val="20"/>
          <w:szCs w:val="20"/>
        </w:rPr>
        <w:t xml:space="preserve">The information in the Investor Presentation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 </w:t>
      </w:r>
    </w:p>
    <w:p>
      <w:pPr>
        <w:jc w:val="start"/>
        <w:spacing w:before="0" w:after="0"/>
      </w:pPr>
      <w:r>
        <w:rPr>
          <w:sz w:val="36"/>
          <w:szCs w:val="36"/>
        </w:rPr>
        <w:t xml:space="preserve"> </w:t>
      </w:r>
    </w:p>
    <w:tbl>
      <w:tblGrid>
        <w:gridCol w:w="550" w:type="dxa"/>
        <w:gridCol w:w="5000" w:type="dxa"/>
      </w:tblGrid>
      <w:tblPr>
        <w:tblW w:w="5000" w:type="pct"/>
        <w:tblCellSpacing w:w="0" w:type="dxa"/>
        <w:tblLayout w:type="autofit"/>
      </w:tblPr>
      <w:tr>
        <w:trPr/>
        <w:tc>
          <w:tcPr>
            <w:tcW w:w="550" w:type="pct"/>
            <w:vAlign w:val="top"/>
            <w:noWrap/>
          </w:tcPr>
          <w:p>
            <w:pPr>
              <w:jc w:val="start"/>
            </w:pPr>
            <w:r>
              <w:rPr>
                <w:rFonts w:ascii="Times New Roman" w:hAnsi="Times New Roman" w:eastAsia="Times New Roman" w:cs="Times New Roman"/>
                <w:sz w:val="20"/>
                <w:szCs w:val="20"/>
                <w:b w:val="1"/>
                <w:bCs w:val="1"/>
              </w:rPr>
              <w:t xml:space="preserve">Item 9.01.</w:t>
            </w:r>
          </w:p>
        </w:tc>
        <w:tc>
          <w:tcPr>
            <w:tcW w:w="5000" w:type="pct"/>
            <w:vAlign w:val="top"/>
            <w:noWrap/>
          </w:tcPr>
          <w:p>
            <w:pPr>
              <w:jc w:val="start"/>
              <w:spacing w:before="0" w:after="0"/>
            </w:pPr>
            <w:r>
              <w:rPr>
                <w:rFonts w:ascii="Times New Roman" w:hAnsi="Times New Roman" w:eastAsia="Times New Roman" w:cs="Times New Roman"/>
                <w:sz w:val="20"/>
                <w:szCs w:val="20"/>
                <w:b w:val="1"/>
                <w:bCs w:val="1"/>
              </w:rPr>
              <w:t xml:space="preserve">Financial Statements and Exhibits. </w:t>
            </w:r>
          </w:p>
        </w:tc>
      </w:tr>
    </w:tbl>
    <w:p>
      <w:pPr>
        <w:jc w:val="start"/>
        <w:spacing w:before="120" w:after="0"/>
      </w:pPr>
      <w:r>
        <w:rPr>
          <w:rFonts w:ascii="Times New Roman" w:hAnsi="Times New Roman" w:eastAsia="Times New Roman" w:cs="Times New Roman"/>
          <w:sz w:val="20"/>
          <w:szCs w:val="20"/>
          <w:b w:val="1"/>
          <w:bCs w:val="1"/>
        </w:rPr>
        <w:t xml:space="preserve">(d) Exhibits </w:t>
      </w:r>
    </w:p>
    <w:p>
      <w:pPr>
        <w:jc w:val="start"/>
        <w:spacing w:before="0" w:after="0"/>
      </w:pPr>
      <w:r>
        <w:rPr>
          <w:sz w:val="24"/>
          <w:szCs w:val="24"/>
        </w:rPr>
        <w:t xml:space="preserve"> </w:t>
      </w:r>
    </w:p>
    <w:tbl>
      <w:tblGrid>
        <w:gridCol w:w="5000" w:type="dxa"/>
        <w:gridCol w:w="200" w:type="dxa"/>
        <w:gridCol w:w="4650" w:type="dxa"/>
      </w:tblGrid>
      <w:tblPr>
        <w:tblW w:w="5000" w:type="pct"/>
        <w:tblCellSpacing w:w="0" w:type="dxa"/>
        <w:tblLayout w:type="autofit"/>
      </w:tblPr>
      <w:tr>
        <w:trPr/>
        <w:tc>
          <w:tcPr>
            <w:tcW w:w="5000" w:type="pct"/>
            <w:noWrap/>
          </w:tcPr>
          <w:p>
            <w:pPr/>
          </w:p>
        </w:tc>
        <w:tc>
          <w:tcPr>
            <w:tcW w:w="200" w:type="pct"/>
            <w:vAlign w:val="bottom"/>
            <w:noWrap/>
          </w:tcPr>
          <w:p>
            <w:pPr/>
          </w:p>
        </w:tc>
        <w:tc>
          <w:tcPr>
            <w:tcW w:w="4650" w:type="pct"/>
            <w:noWrap/>
          </w:tcPr>
          <w:p>
            <w:pPr/>
          </w:p>
        </w:tc>
      </w:tr>
      <w:tr>
        <w:trPr/>
        <w:tc>
          <w:tcPr>
            <w:tcW w:w="5000" w:type="pct"/>
            <w:vAlign w:val="bottom"/>
            <w:noWrap/>
          </w:tcPr>
          <w:p>
            <w:pPr>
              <w:jc w:val="center"/>
              <w:spacing w:before="0" w:after="0"/>
            </w:pPr>
            <w:r>
              <w:rPr>
                <w:rFonts w:ascii="Times New Roman" w:hAnsi="Times New Roman" w:eastAsia="Times New Roman" w:cs="Times New Roman"/>
                <w:sz w:val="16"/>
                <w:szCs w:val="16"/>
                <w:b w:val="1"/>
                <w:bCs w:val="1"/>
              </w:rPr>
              <w:t xml:space="preserve">Exhibit</w:t>
            </w:r>
            <w:br/>
            <w:r>
              <w:rPr>
                <w:rFonts w:ascii="Times New Roman" w:hAnsi="Times New Roman" w:eastAsia="Times New Roman" w:cs="Times New Roman"/>
                <w:sz w:val="16"/>
                <w:szCs w:val="16"/>
                <w:b w:val="1"/>
                <w:bCs w:val="1"/>
              </w:rPr>
              <w:t xml:space="preserve">No.</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bottom"/>
            <w:noWrap/>
          </w:tcPr>
          <w:p>
            <w:pPr>
              <w:jc w:val="start"/>
              <w:spacing w:before="0" w:after="0"/>
            </w:pPr>
            <w:r>
              <w:rPr>
                <w:rFonts w:ascii="Times New Roman" w:hAnsi="Times New Roman" w:eastAsia="Times New Roman" w:cs="Times New Roman"/>
                <w:sz w:val="16"/>
                <w:szCs w:val="16"/>
                <w:b w:val="1"/>
                <w:bCs w:val="1"/>
              </w:rPr>
              <w:t xml:space="preserve">Description</w:t>
            </w:r>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99.1</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hyperlink r:id="rId7" w:history="1">
              <w:r>
                <w:rPr/>
                <w:t xml:space="preserve">Investor Presentation current as of March 27, 2025. </w:t>
              </w:r>
            </w:hyperlink>
          </w:p>
        </w:tc>
      </w:tr>
      <w:tr>
        <w:trPr/>
        <w:tc>
          <w:tcPr>
            <w:tcW w:w="5000" w:type="pct"/>
            <w:noWrap/>
          </w:tcPr>
          <w:p>
            <w:pPr/>
          </w:p>
        </w:tc>
        <w:tc>
          <w:tcPr>
            <w:tcW w:w="5000" w:type="pct"/>
            <w:gridSpan w:val="2"/>
            <w:noWrap/>
          </w:tcPr>
          <w:p>
            <w:pPr/>
          </w:p>
        </w:tc>
      </w:tr>
      <w:tr>
        <w:trPr/>
        <w:tc>
          <w:tcPr>
            <w:tcW w:w="5000" w:type="pct"/>
            <w:vAlign w:val="top"/>
            <w:noWrap/>
          </w:tcPr>
          <w:p>
            <w:pPr/>
            <w:r>
              <w:rPr>
                <w:rFonts w:ascii="Times New Roman" w:hAnsi="Times New Roman" w:eastAsia="Times New Roman" w:cs="Times New Roman"/>
                <w:sz w:val="20"/>
                <w:szCs w:val="20"/>
              </w:rPr>
              <w:t xml:space="preserve">104</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r>
              <w:rPr>
                <w:rFonts w:ascii="Times New Roman" w:hAnsi="Times New Roman" w:eastAsia="Times New Roman" w:cs="Times New Roman"/>
                <w:sz w:val="20"/>
                <w:szCs w:val="20"/>
              </w:rPr>
              <w:t xml:space="preserve">Cover Page Interactive Data File (embedded within the Inline XBRL document).</w:t>
            </w:r>
          </w:p>
        </w:tc>
      </w:tr>
    </w:tbl>
    <w:p>
      <w:pPr>
        <w:spacing w:before="0" w:after="0"/>
      </w:pPr>
      <w:r>
        <w:rPr/>
        <w:t xml:space="preserve"> </w:t>
      </w:r>
    </w:p>
    <w:p>
      <w:pPr>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 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start"/>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Chief Administrative and Legal Officer</w:t>
            </w:r>
          </w:p>
        </w:tc>
      </w:tr>
    </w:tbl>
    <w:p>
      <w:pPr>
        <w:jc w:val="start"/>
        <w:spacing w:before="240" w:after="0"/>
      </w:pPr>
      <w:r>
        <w:rPr>
          <w:rFonts w:ascii="Times New Roman" w:hAnsi="Times New Roman" w:eastAsia="Times New Roman" w:cs="Times New Roman"/>
          <w:sz w:val="20"/>
          <w:szCs w:val="20"/>
        </w:rPr>
        <w:t xml:space="preserve">Date: March 27, 2025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186946dex99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2026-08-07T06:16:48-04:00</dcterms:created>
  <dcterms:modified xsi:type="dcterms:W3CDTF">2026-08-07T06:16:48-04:00</dcterms:modified>
</cp:coreProperties>
</file>

<file path=docProps/custom.xml><?xml version="1.0" encoding="utf-8"?>
<Properties xmlns="http://schemas.openxmlformats.org/officeDocument/2006/custom-properties" xmlns:vt="http://schemas.openxmlformats.org/officeDocument/2006/docPropsVTypes"/>
</file>