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pPr>
      <w:r>
        <w:rPr/>
        <w:t xml:space="preserve"> </w:t>
      </w:r>
    </w:p>
    <w:p>
      <w:pPr>
        <w:jc w:val="star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36"/>
          <w:szCs w:val="36"/>
          <w:b w:val="1"/>
          <w:bCs w:val="1"/>
        </w:rPr>
        <w:t xml:space="preserve">FORM 8-K</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June 23, 2025</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4"/>
          <w:szCs w:val="24"/>
        </w:rPr>
        <w:t xml:space="preserve"> </w:t>
      </w:r>
    </w:p>
    <w:p>
      <w:pPr>
        <w:jc w:val="center"/>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4"/>
          <w:szCs w:val="24"/>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4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24"/>
          <w:szCs w:val="24"/>
        </w:rPr>
        <w:t xml:space="preserve"> </w:t>
      </w:r>
    </w:p>
    <w:p>
      <w:pPr>
        <w:jc w:val="center"/>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24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w:t>
      </w:r>
    </w:p>
    <w:p>
      <w:pPr>
        <w:jc w:val="start"/>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pPr>
      <w:r>
        <w:rPr/>
        <w:t xml:space="preserve"> </w:t>
      </w:r>
    </w:p>
    <w:p>
      <w:pPr>
        <w:jc w:val="star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On June 23, 2025, the holders of our Series A Convertible Preferred Stock voted by written consent to </w:t>
      </w:r>
      <w:r>
        <w:rPr>
          <w:rFonts w:ascii="Times New Roman" w:hAnsi="Times New Roman" w:eastAsia="Times New Roman" w:cs="Times New Roman"/>
          <w:sz w:val="20"/>
          <w:szCs w:val="20"/>
        </w:rPr>
        <w:t xml:space="preserve">re-elect</w:t>
      </w:r>
      <w:r>
        <w:rPr>
          <w:rFonts w:ascii="Times New Roman" w:hAnsi="Times New Roman" w:eastAsia="Times New Roman" w:cs="Times New Roman"/>
          <w:sz w:val="20"/>
          <w:szCs w:val="20"/>
        </w:rPr>
        <w:t xml:space="preserve"> Garrett Lustig to our board of directors, to serve until the next Annual Meeting of Stockholders and until his successor is elected and qualified. </w:t>
      </w:r>
    </w:p>
    <w:p>
      <w:pPr>
        <w:jc w:val="start"/>
        <w:spacing w:before="240" w:after="0"/>
      </w:pPr>
      <w:r>
        <w:rPr>
          <w:rFonts w:ascii="Times New Roman" w:hAnsi="Times New Roman" w:eastAsia="Times New Roman" w:cs="Times New Roman"/>
          <w:sz w:val="20"/>
          <w:szCs w:val="20"/>
        </w:rPr>
        <w:t xml:space="preserve">The information required by this Item 5.02 is incorporated herein by reference to the Company’s Definitive Proxy Statement filed with the Securities and Exchange Commission on May 12, 2025.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5.07.</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Submission of Matters to a Vote of Security Holders. </w:t>
            </w:r>
          </w:p>
        </w:tc>
      </w:tr>
    </w:tbl>
    <w:p>
      <w:pPr>
        <w:jc w:val="start"/>
        <w:spacing w:before="120" w:after="0"/>
      </w:pPr>
      <w:r>
        <w:rPr>
          <w:rFonts w:ascii="Times New Roman" w:hAnsi="Times New Roman" w:eastAsia="Times New Roman" w:cs="Times New Roman"/>
          <w:sz w:val="20"/>
          <w:szCs w:val="20"/>
        </w:rPr>
        <w:t xml:space="preserve">We held our 2025 Annual Meeting of Stockholders on June 23, 2025, at which four proposals were submitted to, and approved by, our stockholders. The holders of 107,494,803 shares of our Class A common stock, including 25,358,021 shares of Class A common stock issuable upon conversion of our outstanding Series A Convertible Preferred Stock that are entitled to vote with our Class A common stock on an </w:t>
      </w:r>
      <w:r>
        <w:rPr>
          <w:rFonts w:ascii="Times New Roman" w:hAnsi="Times New Roman" w:eastAsia="Times New Roman" w:cs="Times New Roman"/>
          <w:sz w:val="20"/>
          <w:szCs w:val="20"/>
        </w:rPr>
        <w:t xml:space="preserve">as-converted</w:t>
      </w:r>
      <w:r>
        <w:rPr>
          <w:rFonts w:ascii="Times New Roman" w:hAnsi="Times New Roman" w:eastAsia="Times New Roman" w:cs="Times New Roman"/>
          <w:sz w:val="20"/>
          <w:szCs w:val="20"/>
        </w:rPr>
        <w:t xml:space="preserve"> basis and after giving effect to the 19.99% voting limitation imposed by the Nasdaq listing rules and the Certificate of Designations for the Series A Convertible Preferred Stock prior to stockholder approval, were present or represented by proxy at the meeting. The proposals are described in detail in our definitive proxy statement for the 2025 Annual Meeting filed with the Securities and Exchange Commission on May 12, 2025.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Robert Ades, Michael J. Driscoll, Prathyusha Duraibabu, Jon Giacomin, Gary S. Gillheeney, Sr., Michele Korfin, Arthur S. Leibowitz, Glenn H. Nussdorf and Gilberto Quintero was elected our Director,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3100" w:type="dxa"/>
        <w:gridCol w:w="150" w:type="dxa"/>
        <w:gridCol w:w="4200" w:type="dxa"/>
        <w:gridCol w:w="150" w:type="dxa"/>
        <w:gridCol w:w="4200" w:type="dxa"/>
        <w:gridCol w:w="150" w:type="dxa"/>
        <w:gridCol w:w="4200" w:type="dxa"/>
      </w:tblGrid>
      <w:tblPr>
        <w:tblW w:w="4200" w:type="pct"/>
        <w:tblCellSpacing w:w="0" w:type="dxa"/>
        <w:tblLayout w:type="autofit"/>
      </w:tblPr>
      <w:tr>
        <w:trPr/>
        <w:tc>
          <w:tcPr>
            <w:tcW w:w="3100" w:type="pct"/>
            <w:noWrap/>
          </w:tcPr>
          <w:p>
            <w:pPr/>
          </w:p>
        </w:tc>
        <w:tc>
          <w:tcPr>
            <w:tcW w:w="150" w:type="pct"/>
            <w:vAlign w:val="bottom"/>
            <w:noWrap/>
          </w:tcPr>
          <w:p>
            <w:pPr/>
          </w:p>
        </w:tc>
        <w:tc>
          <w:tcPr>
            <w:tcW w:w="4200" w:type="pct"/>
            <w:noWrap/>
          </w:tcPr>
          <w:p>
            <w:pPr/>
          </w:p>
        </w:tc>
        <w:tc>
          <w:tcPr>
            <w:tcW w:w="150" w:type="pct"/>
            <w:vAlign w:val="bottom"/>
            <w:noWrap/>
          </w:tcPr>
          <w:p>
            <w:pPr/>
          </w:p>
        </w:tc>
        <w:tc>
          <w:tcPr>
            <w:tcW w:w="4200" w:type="pct"/>
            <w:noWrap/>
          </w:tcPr>
          <w:p>
            <w:pPr/>
          </w:p>
        </w:tc>
        <w:tc>
          <w:tcPr>
            <w:tcW w:w="150" w:type="pct"/>
            <w:vAlign w:val="bottom"/>
            <w:noWrap/>
          </w:tcPr>
          <w:p>
            <w:pPr/>
          </w:p>
        </w:tc>
        <w:tc>
          <w:tcPr>
            <w:tcW w:w="4200" w:type="pct"/>
            <w:noWrap/>
          </w:tcPr>
          <w:p>
            <w:pPr/>
          </w:p>
        </w:tc>
      </w:tr>
      <w:tr>
        <w:trPr/>
        <w:tc>
          <w:tcPr>
            <w:tcW w:w="4200" w:type="pct"/>
            <w:vAlign w:val="bottom"/>
            <w:noWrap/>
          </w:tcPr>
          <w:p>
            <w:pPr>
              <w:jc w:val="center"/>
              <w:spacing w:before="0" w:after="2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Robert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72,094,278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1,364,787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34,035,738</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Michael J. Driscoll</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71,818,656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1,640,409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34,035,738</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Prathyusha Duraibabu</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72,296,076</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1,162,989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34,035,738</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Jon Giacomin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68,945,828</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4,513,237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34,035,738</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Gary S. Gillheeney, Sr.</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72,061,570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1,397,495</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34,035,738</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Michele Korfin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72,303,781</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1,155,284</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34,035,738</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71,129,169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2,329,896</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34,035,738</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72,195,862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1,263,203</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34,035,738</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Gilberto Quintero</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72,402,755</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1,056,310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34,035,738</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on an advisory basis, the compensation paid to our named executive officers. The votes cast on this proposal were as follows: </w:t>
      </w:r>
    </w:p>
    <w:p>
      <w:pPr>
        <w:jc w:val="start"/>
        <w:spacing w:before="0" w:after="0"/>
      </w:pPr>
      <w:r>
        <w:rPr>
          <w:sz w:val="24"/>
          <w:szCs w:val="24"/>
        </w:rPr>
        <w:t xml:space="preserve"> </w:t>
      </w:r>
    </w:p>
    <w:tbl>
      <w:tblGrid>
        <w:gridCol w:w="2900" w:type="dxa"/>
        <w:gridCol w:w="150" w:type="dxa"/>
        <w:gridCol w:w="4600" w:type="dxa"/>
        <w:gridCol w:w="150" w:type="dxa"/>
        <w:gridCol w:w="4600" w:type="dxa"/>
        <w:gridCol w:w="150" w:type="dxa"/>
        <w:gridCol w:w="4600" w:type="dxa"/>
        <w:gridCol w:w="100" w:type="dxa"/>
        <w:gridCol w:w="4600" w:type="dxa"/>
      </w:tblGrid>
      <w:tblPr>
        <w:tblW w:w="4600" w:type="pct"/>
        <w:tblCellSpacing w:w="0" w:type="dxa"/>
        <w:tblLayout w:type="autofit"/>
      </w:tblPr>
      <w:tr>
        <w:trPr/>
        <w:tc>
          <w:tcPr>
            <w:tcW w:w="290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00" w:type="pct"/>
            <w:vAlign w:val="bottom"/>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compensation paid to our named executive officers.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67,071,290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6,289,601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98,174</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34,035,738</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issuance of, or in excess of, 20% of our outstanding Class A common stock upon the conversion of our Series A Convertible Preferred Stock at less than the “minimum price” under Nasdaq Listing Rule 5635(d), and which may be deemed a “change of control” under Nasdaq Listing Rule 5635(b) or any successor rule, pursuant to the terms of the Certificate of Designations of Series A Convertible Preferred Stock governing </w:t>
      </w:r>
    </w:p>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the Series A Convertible Preferred Stock. Holders of our Series A Convertible Preferred Stock were not entitled to vote their shares on this proposal. The votes cast on this proposal were as follows: </w:t>
      </w:r>
    </w:p>
    <w:p>
      <w:pPr>
        <w:jc w:val="start"/>
        <w:spacing w:before="0" w:after="0"/>
      </w:pPr>
      <w:r>
        <w:rPr>
          <w:sz w:val="24"/>
          <w:szCs w:val="24"/>
        </w:rPr>
        <w:t xml:space="preserve"> </w:t>
      </w:r>
    </w:p>
    <w:tbl>
      <w:tblGrid>
        <w:gridCol w:w="2900" w:type="dxa"/>
        <w:gridCol w:w="150" w:type="dxa"/>
        <w:gridCol w:w="4600" w:type="dxa"/>
        <w:gridCol w:w="150" w:type="dxa"/>
        <w:gridCol w:w="4600" w:type="dxa"/>
        <w:gridCol w:w="150" w:type="dxa"/>
        <w:gridCol w:w="4600" w:type="dxa"/>
        <w:gridCol w:w="100" w:type="dxa"/>
        <w:gridCol w:w="4600" w:type="dxa"/>
      </w:tblGrid>
      <w:tblPr>
        <w:tblW w:w="4600" w:type="pct"/>
        <w:tblCellSpacing w:w="0" w:type="dxa"/>
        <w:tblLayout w:type="autofit"/>
      </w:tblPr>
      <w:tr>
        <w:trPr/>
        <w:tc>
          <w:tcPr>
            <w:tcW w:w="290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00" w:type="pct"/>
            <w:vAlign w:val="bottom"/>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the issuance of, or in excess of, 20% of our outstanding Class A common stock upon the conversion of our Series A Convertible Preferred Stock at less than the “minimum price” under Nasdaq Listing Rule 5635(d), and which may be deemed a “change of control” under Nasdaq Listing Rule 5635(b) or any successor rule, pursuant to the terms of the Certificate of Designations of Series A Convertible Preferred Stock governing the Series A Convertible Preferred Stock.</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45,366,007</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2,653,160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81,877</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34,035,738</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2025. The votes cast on this proposal were as follows: </w:t>
      </w:r>
    </w:p>
    <w:p>
      <w:pPr>
        <w:jc w:val="start"/>
        <w:spacing w:before="0" w:after="0"/>
      </w:pPr>
      <w:r>
        <w:rPr>
          <w:sz w:val="24"/>
          <w:szCs w:val="24"/>
        </w:rPr>
        <w:t xml:space="preserve"> </w:t>
      </w:r>
    </w:p>
    <w:tbl>
      <w:tblGrid>
        <w:gridCol w:w="3050" w:type="dxa"/>
        <w:gridCol w:w="200" w:type="dxa"/>
        <w:gridCol w:w="4600" w:type="dxa"/>
        <w:gridCol w:w="200" w:type="dxa"/>
        <w:gridCol w:w="4600" w:type="dxa"/>
        <w:gridCol w:w="200" w:type="dxa"/>
        <w:gridCol w:w="4600" w:type="dxa"/>
        <w:gridCol w:w="150" w:type="dxa"/>
        <w:gridCol w:w="4600" w:type="dxa"/>
      </w:tblGrid>
      <w:tblPr>
        <w:tblW w:w="4600" w:type="pct"/>
        <w:tblCellSpacing w:w="0" w:type="dxa"/>
        <w:tblLayout w:type="autofit"/>
      </w:tblPr>
      <w:tr>
        <w:trPr/>
        <w:tc>
          <w:tcPr>
            <w:tcW w:w="3050" w:type="pct"/>
            <w:noWrap/>
          </w:tcPr>
          <w:p>
            <w:pPr/>
          </w:p>
        </w:tc>
        <w:tc>
          <w:tcPr>
            <w:tcW w:w="200" w:type="pct"/>
            <w:vAlign w:val="bottom"/>
            <w:noWrap/>
          </w:tcPr>
          <w:p>
            <w:pPr/>
          </w:p>
        </w:tc>
        <w:tc>
          <w:tcPr>
            <w:tcW w:w="4600" w:type="pct"/>
            <w:noWrap/>
          </w:tcPr>
          <w:p>
            <w:pPr/>
          </w:p>
        </w:tc>
        <w:tc>
          <w:tcPr>
            <w:tcW w:w="200" w:type="pct"/>
            <w:vAlign w:val="bottom"/>
            <w:noWrap/>
          </w:tcPr>
          <w:p>
            <w:pPr/>
          </w:p>
        </w:tc>
        <w:tc>
          <w:tcPr>
            <w:tcW w:w="4600" w:type="pct"/>
            <w:noWrap/>
          </w:tcPr>
          <w:p>
            <w:pPr/>
          </w:p>
        </w:tc>
        <w:tc>
          <w:tcPr>
            <w:tcW w:w="200" w:type="pct"/>
            <w:vAlign w:val="bottom"/>
            <w:noWrap/>
          </w:tcPr>
          <w:p>
            <w:pPr/>
          </w:p>
        </w:tc>
        <w:tc>
          <w:tcPr>
            <w:tcW w:w="4600" w:type="pct"/>
            <w:noWrap/>
          </w:tcPr>
          <w:p>
            <w:pPr/>
          </w:p>
        </w:tc>
        <w:tc>
          <w:tcPr>
            <w:tcW w:w="150" w:type="pct"/>
            <w:vAlign w:val="bottom"/>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our independent registered public accounting firm for fiscal year 2025.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103,611,126</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3,865,092</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18,585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center"/>
            <w:shd w:val="clear" w:fill="cceeff"/>
            <w:noWrap/>
          </w:tcPr>
          <w:p>
            <w:pPr>
              <w:jc w:val="center"/>
            </w:pPr>
            <w:r>
              <w:rPr>
                <w:rFonts w:ascii="Times New Roman" w:hAnsi="Times New Roman" w:eastAsia="Times New Roman" w:cs="Times New Roman"/>
                <w:sz w:val="20"/>
                <w:szCs w:val="20"/>
                <w:shd w:val="clear" w:fill="cceeff"/>
              </w:rPr>
              <w:t xml:space="preserve">0</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3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June 24, 2025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2026-08-07T06:16:42-04:00</dcterms:created>
  <dcterms:modified xsi:type="dcterms:W3CDTF">2026-08-07T06:16:42-04:00</dcterms:modified>
</cp:coreProperties>
</file>

<file path=docProps/custom.xml><?xml version="1.0" encoding="utf-8"?>
<Properties xmlns="http://schemas.openxmlformats.org/officeDocument/2006/custom-properties" xmlns:vt="http://schemas.openxmlformats.org/officeDocument/2006/docPropsVTypes"/>
</file>