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vanish w:val="1"/>
        </w:rPr>
        <w:t xml:space="preserve">  </w:t>
      </w:r>
    </w:p>
    <w:p>
      <w:pPr>
        <w:jc w:val="start"/>
      </w:pPr>
      <w:r>
        <w:rPr/>
        <w:t xml:space="preserve"> </w:t>
      </w:r>
    </w:p>
    <w:p>
      <w:pPr>
        <w:jc w:val="start"/>
      </w:pPr>
      <w:r>
        <w:rPr/>
        <w:t xml:space="preserve"> </w:t>
      </w:r>
    </w:p>
    <w:p>
      <w:pPr>
        <w:jc w:val="center"/>
        <w:spacing w:before="80" w:after="0"/>
      </w:pPr>
      <w:r>
        <w:rPr>
          <w:rFonts w:ascii="Times New Roman" w:hAnsi="Times New Roman" w:eastAsia="Times New Roman" w:cs="Times New Roman"/>
          <w:sz w:val="36"/>
          <w:szCs w:val="36"/>
          <w:b w:val="1"/>
          <w:bCs w:val="1"/>
        </w:rPr>
        <w:t xml:space="preserve">UNITED STATES</w:t>
      </w:r>
    </w:p>
    <w:p>
      <w:pPr>
        <w:jc w:val="center"/>
        <w:spacing w:before="0" w:after="0"/>
      </w:pPr>
      <w:r>
        <w:rPr>
          <w:rFonts w:ascii="Times New Roman" w:hAnsi="Times New Roman" w:eastAsia="Times New Roman" w:cs="Times New Roman"/>
          <w:sz w:val="36"/>
          <w:szCs w:val="36"/>
          <w:b w:val="1"/>
          <w:bCs w:val="1"/>
        </w:rPr>
        <w:t xml:space="preserve">SECURITIES AND EXCHANGE COMMISSION</w:t>
      </w:r>
    </w:p>
    <w:p>
      <w:pPr>
        <w:jc w:val="center"/>
        <w:spacing w:before="0" w:after="0"/>
      </w:pPr>
      <w:r>
        <w:rPr>
          <w:rFonts w:ascii="Times New Roman" w:hAnsi="Times New Roman" w:eastAsia="Times New Roman" w:cs="Times New Roman"/>
          <w:sz w:val="24"/>
          <w:szCs w:val="24"/>
          <w:b w:val="1"/>
          <w:bCs w:val="1"/>
        </w:rPr>
        <w:t xml:space="preserve">Washington, D.C. 20549</w:t>
      </w:r>
    </w:p>
    <w:p>
      <w:pPr>
        <w:jc w:val="start"/>
        <w:spacing w:before="0" w:after="0"/>
      </w:pPr>
      <w:r>
        <w:rPr>
          <w:sz w:val="24"/>
          <w:szCs w:val="24"/>
        </w:rPr>
        <w:t xml:space="preserve"> </w:t>
      </w:r>
    </w:p>
    <w:p>
      <w:pPr>
        <w:jc w:val="center"/>
      </w:pPr>
      <w:r>
        <w:rPr/>
        <w:t xml:space="preserve"> </w:t>
      </w:r>
    </w:p>
    <w:p>
      <w:pPr>
        <w:jc w:val="center"/>
        <w:spacing w:before="240" w:after="0"/>
      </w:pPr>
      <w:r>
        <w:rPr>
          <w:rFonts w:ascii="Times New Roman" w:hAnsi="Times New Roman" w:eastAsia="Times New Roman" w:cs="Times New Roman"/>
          <w:sz w:val="36"/>
          <w:szCs w:val="36"/>
          <w:b w:val="1"/>
          <w:bCs w:val="1"/>
        </w:rPr>
        <w:t xml:space="preserve">FORM 8-K</w:t>
      </w:r>
    </w:p>
    <w:p>
      <w:pPr>
        <w:jc w:val="start"/>
        <w:spacing w:before="0" w:after="0"/>
      </w:pPr>
      <w:r>
        <w:rPr>
          <w:sz w:val="24"/>
          <w:szCs w:val="24"/>
        </w:rPr>
        <w:t xml:space="preserve"> </w:t>
      </w:r>
    </w:p>
    <w:p>
      <w:pPr>
        <w:jc w:val="center"/>
      </w:pPr>
      <w:r>
        <w:rPr/>
        <w:t xml:space="preserve"> </w:t>
      </w:r>
    </w:p>
    <w:p>
      <w:pPr>
        <w:jc w:val="center"/>
        <w:spacing w:before="240" w:after="0"/>
      </w:pPr>
      <w:r>
        <w:rPr>
          <w:rFonts w:ascii="Times New Roman" w:hAnsi="Times New Roman" w:eastAsia="Times New Roman" w:cs="Times New Roman"/>
          <w:sz w:val="24"/>
          <w:szCs w:val="24"/>
          <w:b w:val="1"/>
          <w:bCs w:val="1"/>
        </w:rPr>
        <w:t xml:space="preserve">CURRENT REPORT</w:t>
      </w:r>
    </w:p>
    <w:p>
      <w:pPr>
        <w:jc w:val="center"/>
        <w:spacing w:before="0" w:after="0"/>
      </w:pPr>
      <w:r>
        <w:rPr>
          <w:rFonts w:ascii="Times New Roman" w:hAnsi="Times New Roman" w:eastAsia="Times New Roman" w:cs="Times New Roman"/>
          <w:sz w:val="24"/>
          <w:szCs w:val="24"/>
          <w:b w:val="1"/>
          <w:bCs w:val="1"/>
        </w:rPr>
        <w:t xml:space="preserve">Pursuant to Section 13 or 15(d)</w:t>
      </w:r>
    </w:p>
    <w:p>
      <w:pPr>
        <w:jc w:val="center"/>
        <w:spacing w:before="0" w:after="0"/>
      </w:pPr>
      <w:r>
        <w:rPr>
          <w:rFonts w:ascii="Times New Roman" w:hAnsi="Times New Roman" w:eastAsia="Times New Roman" w:cs="Times New Roman"/>
          <w:sz w:val="24"/>
          <w:szCs w:val="24"/>
          <w:b w:val="1"/>
          <w:bCs w:val="1"/>
        </w:rPr>
        <w:t xml:space="preserve">ff the Securities Exchange Act of 1934</w:t>
      </w:r>
    </w:p>
    <w:p>
      <w:pPr>
        <w:jc w:val="center"/>
        <w:spacing w:before="240" w:after="0"/>
      </w:pPr>
      <w:r>
        <w:rPr>
          <w:rFonts w:ascii="Times New Roman" w:hAnsi="Times New Roman" w:eastAsia="Times New Roman" w:cs="Times New Roman"/>
          <w:sz w:val="24"/>
          <w:szCs w:val="24"/>
          <w:b w:val="1"/>
          <w:bCs w:val="1"/>
        </w:rPr>
        <w:t xml:space="preserve">Date of Report (Date of Earliest Event Reported): February 18, 2026</w:t>
      </w:r>
    </w:p>
    <w:p>
      <w:pPr>
        <w:jc w:val="start"/>
        <w:spacing w:before="0" w:after="0"/>
      </w:pPr>
      <w:r>
        <w:rPr>
          <w:sz w:val="24"/>
          <w:szCs w:val="24"/>
        </w:rPr>
        <w:t xml:space="preserve"> </w:t>
      </w:r>
    </w:p>
    <w:p>
      <w:pPr>
        <w:jc w:val="center"/>
      </w:pPr>
      <w:r>
        <w:rPr/>
        <w:t xml:space="preserve"> </w:t>
      </w:r>
    </w:p>
    <w:p>
      <w:pPr>
        <w:jc w:val="center"/>
        <w:spacing w:before="240" w:after="0"/>
      </w:pPr>
      <w:r>
        <w:rPr>
          <w:rFonts w:ascii="Times New Roman" w:hAnsi="Times New Roman" w:eastAsia="Times New Roman" w:cs="Times New Roman"/>
          <w:sz w:val="48"/>
          <w:szCs w:val="48"/>
          <w:b w:val="1"/>
          <w:bCs w:val="1"/>
        </w:rPr>
        <w:t xml:space="preserve"> ORGANOGENESIS HOLDINGS INC. </w:t>
      </w:r>
    </w:p>
    <w:p>
      <w:pPr>
        <w:jc w:val="center"/>
        <w:spacing w:before="0" w:after="0"/>
      </w:pPr>
      <w:r>
        <w:rPr>
          <w:rFonts w:ascii="Times New Roman" w:hAnsi="Times New Roman" w:eastAsia="Times New Roman" w:cs="Times New Roman"/>
          <w:sz w:val="20"/>
          <w:szCs w:val="20"/>
          <w:b w:val="1"/>
          <w:bCs w:val="1"/>
        </w:rPr>
        <w:t xml:space="preserve">(Exact Name of Registrant as specified in its charter)</w:t>
      </w:r>
    </w:p>
    <w:p>
      <w:pPr>
        <w:jc w:val="start"/>
        <w:spacing w:before="0" w:after="0"/>
      </w:pPr>
      <w:r>
        <w:rPr>
          <w:sz w:val="24"/>
          <w:szCs w:val="24"/>
        </w:rPr>
        <w:t xml:space="preserve"> </w:t>
      </w:r>
    </w:p>
    <w:p>
      <w:pPr>
        <w:jc w:val="center"/>
      </w:pPr>
      <w:r>
        <w:rPr/>
        <w:t xml:space="preserve"> </w:t>
      </w:r>
    </w:p>
    <w:p>
      <w:pPr>
        <w:jc w:val="start"/>
        <w:spacing w:before="0" w:after="0"/>
      </w:pPr>
      <w:r>
        <w:rPr>
          <w:sz w:val="24"/>
          <w:szCs w:val="24"/>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Delaware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001-37906</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98-1329150</w:t>
            </w:r>
          </w:p>
        </w:tc>
      </w:tr>
      <w:tr>
        <w:trPr/>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(State or Other Jurisdiction</w:t>
            </w:r>
          </w:p>
          <w:p>
            <w:pPr>
              <w:jc w:val="center"/>
              <w:spacing w:before="0" w:after="20"/>
            </w:pPr>
            <w:r>
              <w:rPr>
                <w:rFonts w:ascii="Times New Roman" w:hAnsi="Times New Roman" w:eastAsia="Times New Roman" w:cs="Times New Roman"/>
                <w:sz w:val="16"/>
                <w:szCs w:val="16"/>
                <w:b w:val="1"/>
                <w:bCs w:val="1"/>
              </w:rPr>
              <w:t xml:space="preserve">of Incorporation)</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(Commission</w:t>
            </w:r>
          </w:p>
          <w:p>
            <w:pPr>
              <w:jc w:val="center"/>
              <w:spacing w:before="0" w:after="20"/>
            </w:pPr>
            <w:r>
              <w:rPr>
                <w:rFonts w:ascii="Times New Roman" w:hAnsi="Times New Roman" w:eastAsia="Times New Roman" w:cs="Times New Roman"/>
                <w:sz w:val="16"/>
                <w:szCs w:val="16"/>
                <w:b w:val="1"/>
                <w:bCs w:val="1"/>
              </w:rPr>
              <w:t xml:space="preserve">File Number)</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(IRS Employer</w:t>
            </w:r>
          </w:p>
          <w:p>
            <w:pPr>
              <w:jc w:val="center"/>
              <w:spacing w:before="0" w:after="20"/>
            </w:pPr>
            <w:r>
              <w:rPr>
                <w:rFonts w:ascii="Times New Roman" w:hAnsi="Times New Roman" w:eastAsia="Times New Roman" w:cs="Times New Roman"/>
                <w:sz w:val="16"/>
                <w:szCs w:val="16"/>
                <w:b w:val="1"/>
                <w:bCs w:val="1"/>
              </w:rPr>
              <w:t xml:space="preserve">Identification No.)</w:t>
            </w:r>
          </w:p>
        </w:tc>
      </w:tr>
    </w:tbl>
    <w:p>
      <w:pPr>
        <w:jc w:val="start"/>
        <w:spacing w:before="0" w:after="0"/>
      </w:pPr>
      <w:r>
        <w:rPr>
          <w:sz w:val="24"/>
          <w:szCs w:val="24"/>
        </w:rPr>
        <w:t xml:space="preserve"> </w:t>
      </w:r>
    </w:p>
    <w:tbl>
      <w:tblGrid>
        <w:gridCol w:w="2500" w:type="dxa"/>
        <w:gridCol w:w="50" w:type="dxa"/>
        <w:gridCol w:w="2400" w:type="dxa"/>
      </w:tblGrid>
      <w:tblPr>
        <w:tblW w:w="5000" w:type="pct"/>
        <w:tblCellSpacing w:w="0" w:type="dxa"/>
        <w:tblLayout w:type="autofit"/>
      </w:tblPr>
      <w:tr>
        <w:trPr/>
        <w:tc>
          <w:tcPr>
            <w:tcW w:w="2500" w:type="pct"/>
            <w:noWrap/>
          </w:tcPr>
          <w:p>
            <w:pPr/>
          </w:p>
        </w:tc>
        <w:tc>
          <w:tcPr>
            <w:tcW w:w="50" w:type="pct"/>
            <w:vAlign w:val="bottom"/>
            <w:noWrap/>
          </w:tcPr>
          <w:p>
            <w:pPr/>
          </w:p>
        </w:tc>
        <w:tc>
          <w:tcPr>
            <w:tcW w:w="2400" w:type="pct"/>
            <w:noWrap/>
          </w:tcPr>
          <w:p>
            <w:pPr/>
          </w:p>
        </w:tc>
      </w:tr>
      <w:tr>
        <w:trPr/>
        <w:tc>
          <w:tcPr>
            <w:tcW w:w="5000" w:type="pct"/>
            <w:vAlign w:val="bottom"/>
            <w:noWrap/>
          </w:tcPr>
          <w:p>
            <w:pPr>
              <w:jc w:val="center"/>
              <w:spacing w:before="0" w:after="0"/>
            </w:pPr>
            <w:r>
              <w:rPr>
                <w:rFonts w:ascii="Times New Roman" w:hAnsi="Times New Roman" w:eastAsia="Times New Roman" w:cs="Times New Roman"/>
                <w:sz w:val="20"/>
                <w:szCs w:val="20"/>
                <w:b w:val="1"/>
                <w:bCs w:val="1"/>
              </w:rPr>
              <w:t xml:space="preserve">85 Dan Road</w:t>
            </w:r>
          </w:p>
          <w:p>
            <w:pPr>
              <w:jc w:val="center"/>
              <w:spacing w:before="0" w:after="20"/>
            </w:pPr>
            <w:r>
              <w:rPr>
                <w:rFonts w:ascii="Times New Roman" w:hAnsi="Times New Roman" w:eastAsia="Times New Roman" w:cs="Times New Roman"/>
                <w:sz w:val="20"/>
                <w:szCs w:val="20"/>
                <w:b w:val="1"/>
                <w:bCs w:val="1"/>
              </w:rPr>
              <w:t xml:space="preserve">Canton, MA</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jc w:val="center"/>
            </w:pPr>
            <w:r>
              <w:rPr>
                <w:rFonts w:ascii="Times New Roman" w:hAnsi="Times New Roman" w:eastAsia="Times New Roman" w:cs="Times New Roman"/>
                <w:sz w:val="20"/>
                <w:szCs w:val="20"/>
                <w:b w:val="1"/>
                <w:bCs w:val="1"/>
              </w:rPr>
              <w:t xml:space="preserve">02021</w:t>
            </w:r>
          </w:p>
        </w:tc>
      </w:tr>
      <w:tr>
        <w:trPr/>
        <w:tc>
          <w:tcPr>
            <w:tcW w:w="5000" w:type="pct"/>
            <w:vAlign w:val="top"/>
            <w:noWrap/>
          </w:tcPr>
          <w:p>
            <w:pPr>
              <w:jc w:val="center"/>
            </w:pPr>
            <w:r>
              <w:rPr>
                <w:rFonts w:ascii="Times New Roman" w:hAnsi="Times New Roman" w:eastAsia="Times New Roman" w:cs="Times New Roman"/>
                <w:sz w:val="16"/>
                <w:szCs w:val="16"/>
                <w:b w:val="1"/>
                <w:bCs w:val="1"/>
              </w:rPr>
              <w:t xml:space="preserve">(Address of principal executive offices)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pPr>
            <w:r>
              <w:rPr>
                <w:rFonts w:ascii="Times New Roman" w:hAnsi="Times New Roman" w:eastAsia="Times New Roman" w:cs="Times New Roman"/>
                <w:sz w:val="16"/>
                <w:szCs w:val="16"/>
                <w:b w:val="1"/>
                <w:bCs w:val="1"/>
              </w:rPr>
              <w:t xml:space="preserve">(Zip Code)</w:t>
            </w:r>
          </w:p>
        </w:tc>
      </w:tr>
    </w:tbl>
    <w:p>
      <w:pPr>
        <w:jc w:val="center"/>
        <w:spacing w:before="240" w:after="0"/>
      </w:pPr>
      <w:r>
        <w:rPr>
          <w:rFonts w:ascii="Times New Roman" w:hAnsi="Times New Roman" w:eastAsia="Times New Roman" w:cs="Times New Roman"/>
          <w:sz w:val="20"/>
          <w:szCs w:val="20"/>
          <w:b w:val="1"/>
          <w:bCs w:val="1"/>
        </w:rPr>
        <w:t xml:space="preserve">(781) 575-0775</w:t>
      </w:r>
    </w:p>
    <w:p>
      <w:pPr>
        <w:jc w:val="center"/>
        <w:spacing w:before="0" w:after="0"/>
      </w:pPr>
      <w:r>
        <w:rPr>
          <w:rFonts w:ascii="Times New Roman" w:hAnsi="Times New Roman" w:eastAsia="Times New Roman" w:cs="Times New Roman"/>
          <w:sz w:val="16"/>
          <w:szCs w:val="16"/>
          <w:b w:val="1"/>
          <w:bCs w:val="1"/>
        </w:rPr>
        <w:t xml:space="preserve">(Registrant’s telephone number, including area code)</w:t>
      </w:r>
    </w:p>
    <w:p>
      <w:pPr>
        <w:jc w:val="center"/>
        <w:spacing w:before="240" w:after="0"/>
      </w:pPr>
      <w:r>
        <w:rPr>
          <w:rFonts w:ascii="Times New Roman" w:hAnsi="Times New Roman" w:eastAsia="Times New Roman" w:cs="Times New Roman"/>
          <w:sz w:val="20"/>
          <w:szCs w:val="20"/>
          <w:b w:val="1"/>
          <w:bCs w:val="1"/>
        </w:rPr>
        <w:t xml:space="preserve">Not Applicable</w:t>
      </w:r>
    </w:p>
    <w:p>
      <w:pPr>
        <w:jc w:val="center"/>
        <w:spacing w:before="0" w:after="0"/>
      </w:pPr>
      <w:r>
        <w:rPr>
          <w:rFonts w:ascii="Times New Roman" w:hAnsi="Times New Roman" w:eastAsia="Times New Roman" w:cs="Times New Roman"/>
          <w:sz w:val="16"/>
          <w:szCs w:val="16"/>
          <w:b w:val="1"/>
          <w:bCs w:val="1"/>
        </w:rPr>
        <w:t xml:space="preserve">(Registrant’s name or former address, if changed since last report)</w:t>
      </w:r>
    </w:p>
    <w:p>
      <w:pPr>
        <w:jc w:val="start"/>
        <w:spacing w:before="0" w:after="0"/>
      </w:pPr>
      <w:r>
        <w:rPr>
          <w:sz w:val="24"/>
          <w:szCs w:val="24"/>
        </w:rPr>
        <w:t xml:space="preserve"> </w:t>
      </w:r>
    </w:p>
    <w:p>
      <w:pPr>
        <w:jc w:val="center"/>
      </w:pPr>
      <w:r>
        <w:rPr/>
        <w:t xml:space="preserve"> </w:t>
      </w:r>
    </w:p>
    <w:p>
      <w:pPr>
        <w:jc w:val="start"/>
        <w:spacing w:before="240" w:after="0"/>
      </w:pPr>
      <w:r>
        <w:rPr>
          <w:rFonts w:ascii="Times New Roman" w:hAnsi="Times New Roman" w:eastAsia="Times New Roman" w:cs="Times New Roman"/>
          <w:sz w:val="20"/>
          <w:szCs w:val="20"/>
        </w:rPr>
        <w:t xml:space="preserve">Check the appropriate box below if the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filing is intended to simultaneously satisfy the filing obligation of the registrant under any of the following provisions:</w:t>
      </w:r>
    </w:p>
    <w:p>
      <w:pPr>
        <w:jc w:val="start"/>
        <w:spacing w:before="0" w:after="0"/>
      </w:pPr>
      <w:r>
        <w:rPr>
          <w:sz w:val="12"/>
          <w:szCs w:val="12"/>
        </w:rPr>
        <w:t xml:space="preserve"> </w:t>
      </w:r>
    </w:p>
    <w:tbl>
      <w:tblGrid>
        <w:gridCol w:w="200" w:type="dxa"/>
        <w:gridCol w:w="5000" w:type="dxa"/>
      </w:tblGrid>
      <w:tblPr>
        <w:tblW w:w="5000" w:type="pct"/>
        <w:tblCellSpacing w:w="0" w:type="dxa"/>
        <w:tblLayout w:type="autofit"/>
      </w:tblPr>
      <w:tr>
        <w:trPr/>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Written communications pursuant to Rule 425 under the Securities Act (17 CFR 230.425)</w:t>
            </w:r>
          </w:p>
        </w:tc>
      </w:tr>
    </w:tbl>
    <w:p>
      <w:pPr>
        <w:jc w:val="start"/>
        <w:spacing w:before="0" w:after="0"/>
      </w:pPr>
      <w:r>
        <w:rPr>
          <w:sz w:val="12"/>
          <w:szCs w:val="12"/>
        </w:rPr>
        <w:t xml:space="preserve"> </w:t>
      </w:r>
    </w:p>
    <w:tbl>
      <w:tblGrid>
        <w:gridCol w:w="200" w:type="dxa"/>
        <w:gridCol w:w="5000" w:type="dxa"/>
      </w:tblGrid>
      <w:tblPr>
        <w:tblW w:w="5000" w:type="pct"/>
        <w:tblCellSpacing w:w="0" w:type="dxa"/>
        <w:tblLayout w:type="autofit"/>
      </w:tblPr>
      <w:tr>
        <w:trPr/>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Soliciting material pursuant to Rule </w:t>
            </w:r>
            <w:r>
              <w:rPr>
                <w:rFonts w:ascii="Times New Roman" w:hAnsi="Times New Roman" w:eastAsia="Times New Roman" w:cs="Times New Roman"/>
                <w:sz w:val="20"/>
                <w:szCs w:val="20"/>
              </w:rPr>
              <w:t xml:space="preserve">14a-12</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240.14a-12)</w:t>
            </w:r>
          </w:p>
        </w:tc>
      </w:tr>
    </w:tbl>
    <w:p>
      <w:pPr>
        <w:jc w:val="start"/>
        <w:spacing w:before="0" w:after="0"/>
      </w:pPr>
      <w:r>
        <w:rPr>
          <w:sz w:val="12"/>
          <w:szCs w:val="12"/>
        </w:rPr>
        <w:t xml:space="preserve"> </w:t>
      </w:r>
    </w:p>
    <w:tbl>
      <w:tblGrid>
        <w:gridCol w:w="200" w:type="dxa"/>
        <w:gridCol w:w="5000" w:type="dxa"/>
      </w:tblGrid>
      <w:tblPr>
        <w:tblW w:w="5000" w:type="pct"/>
        <w:tblCellSpacing w:w="0" w:type="dxa"/>
        <w:tblLayout w:type="autofit"/>
      </w:tblPr>
      <w:tr>
        <w:trPr/>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14d-2(b)</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240.14d-2(b))</w:t>
            </w:r>
          </w:p>
        </w:tc>
      </w:tr>
    </w:tbl>
    <w:p>
      <w:pPr>
        <w:jc w:val="start"/>
        <w:spacing w:before="0" w:after="0"/>
      </w:pPr>
      <w:r>
        <w:rPr>
          <w:sz w:val="12"/>
          <w:szCs w:val="12"/>
        </w:rPr>
        <w:t xml:space="preserve"> </w:t>
      </w:r>
    </w:p>
    <w:tbl>
      <w:tblGrid>
        <w:gridCol w:w="200" w:type="dxa"/>
        <w:gridCol w:w="5000" w:type="dxa"/>
      </w:tblGrid>
      <w:tblPr>
        <w:tblW w:w="5000" w:type="pct"/>
        <w:tblCellSpacing w:w="0" w:type="dxa"/>
        <w:tblLayout w:type="autofit"/>
      </w:tblPr>
      <w:tr>
        <w:trPr/>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13e-4(c)</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240.13e-4(c))</w:t>
            </w:r>
          </w:p>
        </w:tc>
      </w:tr>
    </w:tbl>
    <w:p>
      <w:pPr>
        <w:jc w:val="start"/>
        <w:spacing w:before="240" w:after="0"/>
      </w:pPr>
      <w:r>
        <w:rPr>
          <w:rFonts w:ascii="Times New Roman" w:hAnsi="Times New Roman" w:eastAsia="Times New Roman" w:cs="Times New Roman"/>
          <w:sz w:val="20"/>
          <w:szCs w:val="20"/>
        </w:rPr>
        <w:t xml:space="preserve">Securities registered pursuant to Section 12(b) of the Act:</w:t>
      </w:r>
    </w:p>
    <w:p>
      <w:pPr>
        <w:jc w:val="start"/>
        <w:spacing w:before="0" w:after="0"/>
      </w:pPr>
      <w:r>
        <w:rPr>
          <w:sz w:val="24"/>
          <w:szCs w:val="24"/>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Title of each class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0"/>
            </w:pPr>
            <w:r>
              <w:rPr>
                <w:rFonts w:ascii="Times New Roman" w:hAnsi="Times New Roman" w:eastAsia="Times New Roman" w:cs="Times New Roman"/>
                <w:sz w:val="16"/>
                <w:szCs w:val="16"/>
                <w:b w:val="1"/>
                <w:bCs w:val="1"/>
              </w:rPr>
              <w:t xml:space="preserve">Trading</w:t>
            </w:r>
          </w:p>
          <w:p>
            <w:pPr>
              <w:jc w:val="center"/>
              <w:spacing w:before="0" w:after="20"/>
            </w:pPr>
            <w:r>
              <w:rPr>
                <w:rFonts w:ascii="Times New Roman" w:hAnsi="Times New Roman" w:eastAsia="Times New Roman" w:cs="Times New Roman"/>
                <w:sz w:val="16"/>
                <w:szCs w:val="16"/>
                <w:b w:val="1"/>
                <w:bCs w:val="1"/>
              </w:rPr>
              <w:t xml:space="preserve">Symbol(s)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0"/>
            </w:pPr>
            <w:r>
              <w:rPr>
                <w:rFonts w:ascii="Times New Roman" w:hAnsi="Times New Roman" w:eastAsia="Times New Roman" w:cs="Times New Roman"/>
                <w:sz w:val="16"/>
                <w:szCs w:val="16"/>
                <w:b w:val="1"/>
                <w:bCs w:val="1"/>
              </w:rPr>
              <w:t xml:space="preserve">Name of each exchange</w:t>
            </w:r>
          </w:p>
          <w:p>
            <w:pPr>
              <w:jc w:val="center"/>
              <w:spacing w:before="0" w:after="20"/>
            </w:pPr>
            <w:r>
              <w:rPr>
                <w:rFonts w:ascii="Times New Roman" w:hAnsi="Times New Roman" w:eastAsia="Times New Roman" w:cs="Times New Roman"/>
                <w:sz w:val="16"/>
                <w:szCs w:val="16"/>
                <w:b w:val="1"/>
                <w:bCs w:val="1"/>
              </w:rPr>
              <w:t xml:space="preserve">on which registered</w:t>
            </w:r>
          </w:p>
        </w:tc>
      </w:tr>
      <w:tr>
        <w:trPr/>
        <w:tc>
          <w:tcPr>
            <w:tcW w:w="5000" w:type="pct"/>
            <w:vAlign w:val="top"/>
            <w:noWrap/>
          </w:tcPr>
          <w:p>
            <w:pPr>
              <w:jc w:val="center"/>
            </w:pPr>
            <w:r>
              <w:rPr>
                <w:rFonts w:ascii="Times New Roman" w:hAnsi="Times New Roman" w:eastAsia="Times New Roman" w:cs="Times New Roman"/>
                <w:sz w:val="20"/>
                <w:szCs w:val="20"/>
              </w:rPr>
              <w:t xml:space="preserve">Class A Common Stock, $0.0001 par value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rPr>
              <w:t xml:space="preserve">ORGO</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rPr>
              <w:t xml:space="preserve">Nasdaq Capital Market</w:t>
            </w:r>
          </w:p>
        </w:tc>
      </w:tr>
    </w:tbl>
    <w:p>
      <w:pPr>
        <w:jc w:val="start"/>
        <w:spacing w:before="240" w:after="0"/>
      </w:pPr>
      <w:r>
        <w:rPr>
          <w:rFonts w:ascii="Times New Roman" w:hAnsi="Times New Roman" w:eastAsia="Times New Roman" w:cs="Times New Roman"/>
          <w:sz w:val="20"/>
          <w:szCs w:val="20"/>
        </w:rPr>
        <w:t xml:space="preserve">Indicate by check mark whether the registrant is an emerging growth company as defined in Rule 405 of the Securities Act of 1933 (§230.405 of this chapter) or Rule </w:t>
      </w:r>
      <w:r>
        <w:rPr>
          <w:rFonts w:ascii="Times New Roman" w:hAnsi="Times New Roman" w:eastAsia="Times New Roman" w:cs="Times New Roman"/>
          <w:sz w:val="20"/>
          <w:szCs w:val="20"/>
        </w:rPr>
        <w:t xml:space="preserve">12b-2</w:t>
      </w:r>
      <w:r>
        <w:rPr>
          <w:rFonts w:ascii="Times New Roman" w:hAnsi="Times New Roman" w:eastAsia="Times New Roman" w:cs="Times New Roman"/>
          <w:sz w:val="20"/>
          <w:szCs w:val="20"/>
        </w:rPr>
        <w:t xml:space="preserve"> of the Securities Exchange Act of 1934 </w:t>
      </w:r>
      <w:r>
        <w:rPr>
          <w:rFonts w:ascii="Times New Roman" w:hAnsi="Times New Roman" w:eastAsia="Times New Roman" w:cs="Times New Roman"/>
          <w:sz w:val="20"/>
          <w:szCs w:val="20"/>
        </w:rPr>
        <w:t xml:space="preserve">(§240.12b-2</w:t>
      </w:r>
      <w:r>
        <w:rPr>
          <w:rFonts w:ascii="Times New Roman" w:hAnsi="Times New Roman" w:eastAsia="Times New Roman" w:cs="Times New Roman"/>
          <w:sz w:val="20"/>
          <w:szCs w:val="20"/>
        </w:rPr>
        <w:t xml:space="preserve"> of this chapter).</w:t>
      </w:r>
    </w:p>
    <w:p>
      <w:pPr>
        <w:jc w:val="end"/>
        <w:spacing w:before="240" w:after="0"/>
      </w:pPr>
      <w:r>
        <w:rPr>
          <w:rFonts w:ascii="Times New Roman" w:hAnsi="Times New Roman" w:eastAsia="Times New Roman" w:cs="Times New Roman"/>
          <w:sz w:val="20"/>
          <w:szCs w:val="20"/>
        </w:rPr>
        <w:t xml:space="preserve">Emerging Growth Company ☐</w:t>
      </w:r>
    </w:p>
    <w:p>
      <w:pPr>
        <w:jc w:val="start"/>
        <w:spacing w:before="240" w:after="0"/>
      </w:pPr>
      <w:r>
        <w:rPr>
          <w:rFonts w:ascii="Times New Roman" w:hAnsi="Times New Roman" w:eastAsia="Times New Roman" w:cs="Times New Roman"/>
          <w:sz w:val="20"/>
          <w:szCs w:val="20"/>
        </w:rPr>
        <w:t xml:space="preserve">If an emerging growth company, indicate by check mark if the registrant has elected not to use the extended transition period for complying with any new or revised financial accounting standards provided pursuant to Section 13(a) of the Exchange Act. ☐</w:t>
      </w:r>
    </w:p>
    <w:p>
      <w:pPr>
        <w:jc w:val="start"/>
        <w:spacing w:before="0" w:after="0"/>
      </w:pPr>
      <w:r>
        <w:rPr>
          <w:sz w:val="20"/>
          <w:szCs w:val="20"/>
        </w:rPr>
        <w:t xml:space="preserve"> </w:t>
      </w:r>
    </w:p>
    <w:p>
      <w:pPr>
        <w:jc w:val="start"/>
      </w:pPr>
      <w:r>
        <w:rPr/>
        <w:t xml:space="preserve"> </w:t>
      </w:r>
    </w:p>
    <w:p>
      <w:pPr>
        <w:jc w:val="start"/>
      </w:pPr>
      <w:r>
        <w:rPr/>
        <w:t xml:space="preserve">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5.02</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Departure of Directors or Certain Officers; Election of Directors; Appointment of Certain Officers; Compensatory Arrangements of Certain Officers. </w:t>
            </w:r>
          </w:p>
        </w:tc>
      </w:tr>
    </w:tbl>
    <w:p>
      <w:pPr>
        <w:jc w:val="start"/>
        <w:spacing w:before="120" w:after="0"/>
      </w:pPr>
      <w:r>
        <w:rPr>
          <w:rFonts w:ascii="Times New Roman" w:hAnsi="Times New Roman" w:eastAsia="Times New Roman" w:cs="Times New Roman"/>
          <w:sz w:val="20"/>
          <w:szCs w:val="20"/>
        </w:rPr>
        <w:t xml:space="preserve">On February 18, 2026, the board of directors of Organogenesis Holdings Inc. (the “Company”) appointed Patrick McGuire, 40, to serve as Chief Accounting Officer and principal accounting officer of the Company, effective immediately. </w:t>
      </w:r>
    </w:p>
    <w:p>
      <w:pPr>
        <w:jc w:val="start"/>
        <w:spacing w:before="240" w:after="0"/>
      </w:pPr>
      <w:r>
        <w:rPr>
          <w:rFonts w:ascii="Times New Roman" w:hAnsi="Times New Roman" w:eastAsia="Times New Roman" w:cs="Times New Roman"/>
          <w:sz w:val="20"/>
          <w:szCs w:val="20"/>
        </w:rPr>
        <w:t xml:space="preserve">Patrick McGuire previously served as the Company’s Vice President, Corporate Controller since September 2023. Prior to joining the Company, Mr. McGuire was the Corporate Controller at Cynosure, LLC from July 2022 to September 2023 and worked at PricewaterhouseCoopers LLP for over thirteen years in various roles, with an emphasis on pharmaceutical, life sciences and medical device organizations, most recently as a Director from July 2019 to July 2022. Mr. McGuire holds a B.A. in Economics and Accounting from the College of the Holy Cross and is a licensed Certified Public Accountant in the state of Massachusetts. </w:t>
      </w:r>
    </w:p>
    <w:p>
      <w:pPr>
        <w:jc w:val="start"/>
        <w:spacing w:before="240" w:after="0"/>
      </w:pPr>
      <w:r>
        <w:rPr>
          <w:rFonts w:ascii="Times New Roman" w:hAnsi="Times New Roman" w:eastAsia="Times New Roman" w:cs="Times New Roman"/>
          <w:sz w:val="20"/>
          <w:szCs w:val="20"/>
        </w:rPr>
        <w:t xml:space="preserve">In connection with Mr. McGuire’s appointment as Chief Accounting Officer and principal accounting officer, his annual base salary was increased to $345,000. No other changes to Mr. McGuire’s existing compensation arrangements were made in connection with his appointment. </w:t>
      </w:r>
    </w:p>
    <w:p>
      <w:pPr>
        <w:jc w:val="start"/>
        <w:spacing w:before="240" w:after="0"/>
      </w:pPr>
      <w:r>
        <w:rPr>
          <w:rFonts w:ascii="Times New Roman" w:hAnsi="Times New Roman" w:eastAsia="Times New Roman" w:cs="Times New Roman"/>
          <w:sz w:val="20"/>
          <w:szCs w:val="20"/>
        </w:rPr>
        <w:t xml:space="preserve">There are no family relationships between Mr. McGuire and any Company director or executive officer, and no arrangements or understandings between Mr. McGuire and any other person pursuant to which he was selected as Chief Accounting Officer and principal accounting officer. Mr. McGuire is not a party to any current or proposed transaction with the Company for which disclosure is required under Item 404(a) of Regulation </w:t>
      </w:r>
      <w:r>
        <w:rPr>
          <w:rFonts w:ascii="Times New Roman" w:hAnsi="Times New Roman" w:eastAsia="Times New Roman" w:cs="Times New Roman"/>
          <w:sz w:val="20"/>
          <w:szCs w:val="20"/>
        </w:rPr>
        <w:t xml:space="preserve">S-K.</w:t>
      </w:r>
      <w:r>
        <w:rPr>
          <w:rFonts w:ascii="Times New Roman" w:hAnsi="Times New Roman" w:eastAsia="Times New Roman" w:cs="Times New Roman"/>
          <w:sz w:val="20"/>
          <w:szCs w:val="20"/>
        </w:rPr>
        <w:t xml:space="preserve"> </w:t>
      </w:r>
    </w:p>
    <w:p>
      <w:pPr>
        <w:jc w:val="start"/>
        <w:spacing w:before="240" w:after="0"/>
      </w:pPr>
      <w:r>
        <w:rPr>
          <w:rFonts w:ascii="Times New Roman" w:hAnsi="Times New Roman" w:eastAsia="Times New Roman" w:cs="Times New Roman"/>
          <w:sz w:val="20"/>
          <w:szCs w:val="20"/>
        </w:rPr>
        <w:t xml:space="preserve">Concurrently with Mr. McGuire’s appointment on February 18, 2026, David Francisco will cease to serve as the Company’s principal accounting officer and will continue to serve as the Company’s Chief Financial Officer, as well as the Company’s principal financial officer. </w:t>
      </w:r>
    </w:p>
    <w:p>
      <w:pPr>
        <w:jc w:val="start"/>
        <w:spacing w:before="0" w:after="0"/>
      </w:pPr>
      <w:r>
        <w:rPr>
          <w:sz w:val="36"/>
          <w:szCs w:val="36"/>
        </w:rPr>
        <w:t xml:space="preserve">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p>
      <w:pPr>
        <w:jc w:val="center"/>
        <w:spacing w:before="0" w:after="0"/>
      </w:pPr>
      <w:r>
        <w:rPr>
          <w:rFonts w:ascii="Times New Roman" w:hAnsi="Times New Roman" w:eastAsia="Times New Roman" w:cs="Times New Roman"/>
          <w:sz w:val="20"/>
          <w:szCs w:val="20"/>
          <w:b w:val="1"/>
          <w:bCs w:val="1"/>
        </w:rPr>
        <w:t xml:space="preserve">SIGNATURE </w:t>
      </w:r>
    </w:p>
    <w:p>
      <w:pPr>
        <w:jc w:val="start"/>
        <w:spacing w:before="240" w:after="0"/>
      </w:pPr>
      <w:r>
        <w:rPr>
          <w:rFonts w:ascii="Times New Roman" w:hAnsi="Times New Roman" w:eastAsia="Times New Roman" w:cs="Times New Roman"/>
          <w:sz w:val="20"/>
          <w:szCs w:val="20"/>
        </w:rPr>
        <w:t xml:space="preserve">Pursuant to the requirements of the Securities Exchange Act of 1934, the registrant has duly caused this report to be signed on its behalf by the undersigned hereunto duly authorized. </w:t>
      </w:r>
    </w:p>
    <w:p>
      <w:pPr>
        <w:jc w:val="start"/>
        <w:spacing w:before="0" w:after="0"/>
      </w:pPr>
      <w:r>
        <w:rPr>
          <w:sz w:val="24"/>
          <w:szCs w:val="24"/>
        </w:rPr>
        <w:t xml:space="preserve"> </w:t>
      </w:r>
    </w:p>
    <w:tbl>
      <w:tblGrid>
        <w:gridCol w:w="2200" w:type="dxa"/>
        <w:gridCol w:w="50" w:type="dxa"/>
        <w:gridCol w:w="200" w:type="dxa"/>
        <w:gridCol w:w="5000" w:type="dxa"/>
        <w:gridCol w:w="250" w:type="dxa"/>
        <w:gridCol w:w="50" w:type="dxa"/>
        <w:gridCol w:w="2200" w:type="dxa"/>
      </w:tblGrid>
      <w:tblPr>
        <w:tblW w:w="5000" w:type="pct"/>
        <w:tblCellSpacing w:w="0" w:type="dxa"/>
        <w:tblLayout w:type="autofit"/>
      </w:tblPr>
      <w:tr>
        <w:trPr/>
        <w:tc>
          <w:tcPr>
            <w:tcW w:w="2200" w:type="pct"/>
            <w:noWrap/>
          </w:tcPr>
          <w:p>
            <w:pPr/>
          </w:p>
        </w:tc>
        <w:tc>
          <w:tcPr>
            <w:tcW w:w="50" w:type="pct"/>
            <w:vAlign w:val="bottom"/>
            <w:noWrap/>
          </w:tcPr>
          <w:p>
            <w:pPr/>
          </w:p>
        </w:tc>
        <w:tc>
          <w:tcPr>
            <w:tcW w:w="200" w:type="pct"/>
            <w:noWrap/>
          </w:tcPr>
          <w:p>
            <w:pPr/>
          </w:p>
        </w:tc>
        <w:tc>
          <w:tcPr>
            <w:tcW w:w="5000" w:type="pct"/>
            <w:vAlign w:val="bottom"/>
            <w:noWrap/>
          </w:tcPr>
          <w:p>
            <w:pPr/>
          </w:p>
        </w:tc>
        <w:tc>
          <w:tcPr>
            <w:tcW w:w="250" w:type="pct"/>
            <w:noWrap/>
          </w:tcPr>
          <w:p>
            <w:pPr/>
          </w:p>
        </w:tc>
        <w:tc>
          <w:tcPr>
            <w:tcW w:w="50" w:type="pct"/>
            <w:vAlign w:val="bottom"/>
            <w:noWrap/>
          </w:tcPr>
          <w:p>
            <w:pPr/>
          </w:p>
        </w:tc>
        <w:tc>
          <w:tcPr>
            <w:tcW w:w="2200" w:type="pct"/>
            <w:noWrap/>
          </w:tcPr>
          <w:p>
            <w:pPr/>
          </w:p>
        </w:tc>
      </w:tr>
      <w:tr>
        <w:trPr/>
        <w:tc>
          <w:tcPr>
            <w:tcW w:w="5000" w:type="pct"/>
            <w:vAlign w:val="bottom"/>
            <w:noWrap/>
          </w:tcPr>
          <w:p>
            <w:pP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gridSpan w:val="3"/>
            <w:noWrap/>
          </w:tcPr>
          <w:p>
            <w:pPr/>
            <w:r>
              <w:rPr>
                <w:rFonts w:ascii="Times New Roman" w:hAnsi="Times New Roman" w:eastAsia="Times New Roman" w:cs="Times New Roman"/>
                <w:sz w:val="20"/>
                <w:szCs w:val="20"/>
              </w:rPr>
              <w:t xml:space="preserve">Organogenesis Holdings Inc.</w:t>
            </w:r>
          </w:p>
        </w:tc>
      </w:tr>
      <w:tr>
        <w:trPr/>
        <w:tc>
          <w:tcPr>
            <w:tcW w:w="5000" w:type="pct"/>
            <w:noWrap/>
          </w:tcPr>
          <w:p>
            <w:pPr/>
          </w:p>
        </w:tc>
        <w:tc>
          <w:tcPr>
            <w:tcW w:w="5000" w:type="pct"/>
            <w:gridSpan w:val="2"/>
            <w:noWrap/>
          </w:tcPr>
          <w:p>
            <w:pPr/>
          </w:p>
        </w:tc>
        <w:tc>
          <w:tcPr>
            <w:tcW w:w="5000" w:type="pct"/>
            <w:gridSpan w:val="2"/>
            <w:noWrap/>
          </w:tcPr>
          <w:p>
            <w:pPr/>
          </w:p>
        </w:tc>
        <w:tc>
          <w:tcPr>
            <w:tcW w:w="5000" w:type="pct"/>
            <w:gridSpan w:val="2"/>
            <w:noWrap/>
          </w:tcPr>
          <w:p>
            <w:pPr/>
          </w:p>
        </w:tc>
      </w:tr>
      <w:tr>
        <w:trPr/>
        <w:tc>
          <w:tcPr>
            <w:tcW w:w="5000" w:type="pct"/>
            <w:vAlign w:val="bottom"/>
            <w:noWrap/>
          </w:tcPr>
          <w:p>
            <w:pP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r>
              <w:rPr>
                <w:rFonts w:ascii="Times New Roman" w:hAnsi="Times New Roman" w:eastAsia="Times New Roman" w:cs="Times New Roman"/>
                <w:sz w:val="20"/>
                <w:szCs w:val="20"/>
              </w:rPr>
              <w:t xml:space="preserve">By:</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jc w:val="start"/>
              <w:spacing w:before="0" w:after="20"/>
            </w:pPr>
            <w:r>
              <w:rPr>
                <w:rFonts w:ascii="Times New Roman" w:hAnsi="Times New Roman" w:eastAsia="Times New Roman" w:cs="Times New Roman"/>
                <w:sz w:val="20"/>
                <w:szCs w:val="20"/>
              </w:rPr>
              <w:t xml:space="preserve">/s/ Lori Freedman</w:t>
            </w:r>
          </w:p>
        </w:tc>
      </w:tr>
      <w:tr>
        <w:trPr/>
        <w:tc>
          <w:tcPr>
            <w:tcW w:w="5000" w:type="pct"/>
            <w:vAlign w:val="bottom"/>
            <w:noWrap/>
          </w:tcPr>
          <w:p>
            <w:pP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r>
              <w:rPr>
                <w:rFonts w:ascii="Times New Roman" w:hAnsi="Times New Roman" w:eastAsia="Times New Roman" w:cs="Times New Roman"/>
                <w:sz w:val="20"/>
                <w:szCs w:val="20"/>
              </w:rPr>
              <w:t xml:space="preserve">Name: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r>
              <w:rPr>
                <w:rFonts w:ascii="Times New Roman" w:hAnsi="Times New Roman" w:eastAsia="Times New Roman" w:cs="Times New Roman"/>
                <w:sz w:val="20"/>
                <w:szCs w:val="20"/>
              </w:rPr>
              <w:t xml:space="preserve">Lori Freedman</w:t>
            </w:r>
          </w:p>
        </w:tc>
      </w:tr>
      <w:tr>
        <w:trPr/>
        <w:tc>
          <w:tcPr>
            <w:tcW w:w="5000" w:type="pct"/>
            <w:vAlign w:val="bottom"/>
            <w:noWrap/>
          </w:tcPr>
          <w:p>
            <w:pP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r>
              <w:rPr>
                <w:rFonts w:ascii="Times New Roman" w:hAnsi="Times New Roman" w:eastAsia="Times New Roman" w:cs="Times New Roman"/>
                <w:sz w:val="20"/>
                <w:szCs w:val="20"/>
              </w:rPr>
              <w:t xml:space="preserve">Title: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r>
              <w:rPr>
                <w:rFonts w:ascii="Times New Roman" w:hAnsi="Times New Roman" w:eastAsia="Times New Roman" w:cs="Times New Roman"/>
                <w:sz w:val="20"/>
                <w:szCs w:val="20"/>
              </w:rPr>
              <w:t xml:space="preserve">Chief Administrative and Legal Officer</w:t>
            </w:r>
          </w:p>
        </w:tc>
      </w:tr>
      <w:tr>
        <w:trPr/>
        <w:tc>
          <w:tcPr>
            <w:tcW w:w="5000" w:type="pct"/>
            <w:noWrap/>
          </w:tcPr>
          <w:p>
            <w:pPr/>
          </w:p>
        </w:tc>
        <w:tc>
          <w:tcPr>
            <w:tcW w:w="5000" w:type="pct"/>
            <w:gridSpan w:val="2"/>
            <w:noWrap/>
          </w:tcPr>
          <w:p>
            <w:pPr/>
          </w:p>
        </w:tc>
        <w:tc>
          <w:tcPr>
            <w:tcW w:w="5000" w:type="pct"/>
            <w:gridSpan w:val="2"/>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Date: February 23, 2026</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2026-08-07T06:16:27-04:00</dcterms:created>
  <dcterms:modified xsi:type="dcterms:W3CDTF">2026-08-07T06:16:27-04:00</dcterms:modified>
</cp:coreProperties>
</file>

<file path=docProps/custom.xml><?xml version="1.0" encoding="utf-8"?>
<Properties xmlns="http://schemas.openxmlformats.org/officeDocument/2006/custom-properties" xmlns:vt="http://schemas.openxmlformats.org/officeDocument/2006/docPropsVTypes"/>
</file>