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8-K12G3</w:t>
      </w:r>
    </w:p>
    <w:p>
      <w:pPr/>
      <w:r>
        <w:rPr/>
        <w:t xml:space="preserve">1</w:t>
      </w:r>
    </w:p>
    <w:p>
      <w:pPr/>
      <w:r>
        <w:rPr/>
        <w:t xml:space="preserve">d662981d8k12g3.htm</w:t>
      </w:r>
    </w:p>
    <w:p>
      <w:pPr/>
      <w:r>
        <w:rPr/>
        <w:t xml:space="preserve">8-K12G3</w:t>
      </w:r>
    </w:p>
    <w:p>
      <w:pPr/>
      <w:r>
        <w:rPr/>
        <w:t xml:space="preserve">8-K12G3</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 </w:t>
      </w:r>
    </w:p>
    <w:p>
      <w:pPr>
        <w:jc w:val="center"/>
        <w:spacing w:before="0" w:after="0"/>
      </w:pPr>
      <w:r>
        <w:rPr>
          <w:rFonts w:ascii="Times New Roman" w:hAnsi="Times New Roman" w:eastAsia="Times New Roman" w:cs="Times New Roman"/>
          <w:sz w:val="36"/>
          <w:szCs w:val="36"/>
          <w:b w:val="1"/>
          <w:bCs w:val="1"/>
        </w:rPr>
        <w:t xml:space="preserve">SECURITIES AND EXCHANGE COMMISSION </w:t>
      </w:r>
    </w:p>
    <w:p>
      <w:pPr>
        <w:jc w:val="center"/>
        <w:spacing w:before="0" w:after="0"/>
      </w:pPr>
      <w:r>
        <w:rPr>
          <w:rFonts w:ascii="Times New Roman" w:hAnsi="Times New Roman" w:eastAsia="Times New Roman" w:cs="Times New Roman"/>
          <w:sz w:val="24"/>
          <w:szCs w:val="24"/>
          <w:b w:val="1"/>
          <w:bCs w:val="1"/>
        </w:rPr>
        <w:t xml:space="preserve">Washington, D.C. 20549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24"/>
          <w:szCs w:val="24"/>
          <w:b w:val="1"/>
          <w:bCs w:val="1"/>
        </w:rPr>
        <w:t xml:space="preserve">CURRENTREPORT </w:t>
      </w:r>
    </w:p>
    <w:p>
      <w:pPr>
        <w:jc w:val="center"/>
        <w:spacing w:before="0" w:after="0"/>
      </w:pPr>
      <w:r>
        <w:rPr>
          <w:rFonts w:ascii="Times New Roman" w:hAnsi="Times New Roman" w:eastAsia="Times New Roman" w:cs="Times New Roman"/>
          <w:sz w:val="24"/>
          <w:szCs w:val="24"/>
          <w:b w:val="1"/>
          <w:bCs w:val="1"/>
        </w:rPr>
        <w:t xml:space="preserve">Pursuant to Section 13 or 15(d) </w:t>
      </w:r>
    </w:p>
    <w:p>
      <w:pPr>
        <w:jc w:val="center"/>
        <w:spacing w:before="0" w:after="0"/>
      </w:pPr>
      <w:r>
        <w:rPr>
          <w:rFonts w:ascii="Times New Roman" w:hAnsi="Times New Roman" w:eastAsia="Times New Roman" w:cs="Times New Roman"/>
          <w:sz w:val="24"/>
          <w:szCs w:val="24"/>
          <w:b w:val="1"/>
          <w:bCs w:val="1"/>
        </w:rPr>
        <w:t xml:space="preserve">of the Securities Exchange Act of 1934 </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December 10, 2018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48"/>
          <w:szCs w:val="48"/>
          <w:b w:val="1"/>
          <w:bCs w:val="1"/>
        </w:rPr>
        <w:t xml:space="preserve">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jc w:val="center"/>
        <w:tblW w:w="5000" w:type="pct"/>
        <w:tblCellSpacing w:w="0" w:type="dxa"/>
        <w:tblLayout w:type="autofit"/>
        <w:tblBorders>
          <w:top w:val="single" w:sz="0"/>
          <w:left w:val="single" w:sz="0"/>
          <w:right w:val="single" w:sz="0"/>
          <w:bottom w:val="single" w:sz="0"/>
          <w:insideH w:val="single" w:sz="0"/>
          <w:insideV w:val="single" w:sz="0"/>
        </w:tblBorders>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vAlign w:val="top"/>
            <w:noWrap/>
          </w:tcPr>
          <w:p>
            <w:pPr>
              <w:jc w:val="center"/>
              <w:spacing w:before="0" w:after="0"/>
            </w:pPr>
            <w:r>
              <w:rPr>
                <w:rFonts w:ascii="Times New Roman" w:hAnsi="Times New Roman" w:eastAsia="Times New Roman" w:cs="Times New Roman"/>
                <w:sz w:val="24"/>
                <w:szCs w:val="24"/>
              </w:rPr>
              <w:t xml:space="preserve"> </w:t>
            </w:r>
          </w:p>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r>
        <w:rPr>
          <w:rFonts w:ascii="Times New Roman" w:hAnsi="Times New Roman" w:eastAsia="Times New Roman" w:cs="Times New Roman"/>
          <w:sz w:val="20"/>
          <w:szCs w:val="20"/>
          <w:b w:val="1"/>
          <w:bCs w:val="1"/>
        </w:rPr>
        <w:t xml:space="preserve"> </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 </w:t>
      </w:r>
    </w:p>
    <w:p>
      <w:pPr>
        <w:jc w:val="center"/>
        <w:spacing w:before="240" w:after="0"/>
      </w:pPr>
      <w:r>
        <w:rPr>
          <w:rFonts w:ascii="Times New Roman" w:hAnsi="Times New Roman" w:eastAsia="Times New Roman" w:cs="Times New Roman"/>
          <w:sz w:val="20"/>
          <w:szCs w:val="20"/>
          <w:b w:val="1"/>
          <w:bCs w:val="1"/>
        </w:rPr>
        <w:t xml:space="preserve">Not Applicable </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ofthe registrant under any of the following provisions: </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 </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 </w:t>
      </w:r>
    </w:p>
    <w:p>
      <w:pPr>
        <w:jc w:val="start"/>
        <w:ind w:left="0" w:right="0" w:firstLine="0" w:hanging="0"/>
        <w:spacing w:before="120" w:after="0"/>
      </w:pPr>
      <w:r>
        <w:rPr>
          <w:rFonts w:ascii="Times New Roman" w:hAnsi="Times New Roman" w:eastAsia="Times New Roman" w:cs="Times New Roman"/>
          <w:sz w:val="20"/>
          <w:szCs w:val="20"/>
        </w:rPr>
        <w:t xml:space="preserve">Emerging Growth Company   ☒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complyingwith any new or revised financial accounting standards pursuant to Section 13(a) of the Exchange Act.  ☐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p>
    <w:p>
      <w:pPr>
        <w:jc w:val="start"/>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b w:val="1"/>
          <w:bCs w:val="1"/>
        </w:rPr>
        <w:t xml:space="preserve">Introductory Note </w:t>
      </w:r>
    </w:p>
    <w:p>
      <w:pPr>
        <w:jc w:val="start"/>
        <w:ind w:left="0" w:right="0" w:firstLine="0" w:hanging="0"/>
        <w:spacing w:before="120" w:after="0"/>
      </w:pPr>
      <w:r>
        <w:rPr>
          <w:rFonts w:ascii="Times New Roman" w:hAnsi="Times New Roman" w:eastAsia="Times New Roman" w:cs="Times New Roman"/>
          <w:sz w:val="20"/>
          <w:szCs w:val="20"/>
        </w:rPr>
        <w:t xml:space="preserve">On December 10, 2018, Avista Healthcare Public Acquisition Corp., our predecessor company (AHPAC), consummated the previouslyannounced business combination (the Business Combination) pursuant to that certain Agreement and Plan of Merger, dated as of August 17, 2018 (as amended, the Merger Agreement), by and among AHPAC, Avista HealthcareMerger Sub, Inc., a Delaware corporation and a direct wholly owned subsidiary of AHPAC (Merger Sub) and Organogenesis Inc., a Delaware corporation (Organogenesis). </w:t>
      </w:r>
    </w:p>
    <w:p>
      <w:pPr>
        <w:jc w:val="start"/>
        <w:ind w:left="0" w:right="0" w:firstLine="0" w:hanging="0"/>
        <w:spacing w:before="240" w:after="0"/>
      </w:pPr>
      <w:r>
        <w:rPr>
          <w:rFonts w:ascii="Times New Roman" w:hAnsi="Times New Roman" w:eastAsia="Times New Roman" w:cs="Times New Roman"/>
          <w:sz w:val="20"/>
          <w:szCs w:val="20"/>
        </w:rPr>
        <w:t xml:space="preserve">As a result of the Business Combination and the other transactions contemplated by the Merger Agreement, Merger Sub merged with and intoOrganogenesis, with Organogenesis surviving the merger (the Merger). In addition, in connection with the Business Combination, and in accordance with Section 388 of the Delaware General Corporation Law and the CaymanIslands Companies Law (2018 Revision), AHPAC redomesticated as a Delaware corporation (the Domestication). After the Domestication, AHPAC changed its name to Organogenesis Holdings Inc.. We refer to AHPACfollowing the effectiveness of the domestication as ORGO. As a result of the Merger, Organogenesis became a wholly owned direct subsidiary of ORGO. </w:t>
      </w:r>
    </w:p>
    <w:p>
      <w:pPr>
        <w:jc w:val="start"/>
        <w:ind w:left="0" w:right="0" w:firstLine="0" w:hanging="0"/>
        <w:spacing w:before="240" w:after="0"/>
      </w:pPr>
      <w:r>
        <w:rPr>
          <w:rFonts w:ascii="Times New Roman" w:hAnsi="Times New Roman" w:eastAsia="Times New Roman" w:cs="Times New Roman"/>
          <w:sz w:val="20"/>
          <w:szCs w:val="20"/>
        </w:rPr>
        <w:t xml:space="preserve">Unless the context otherwise requires, we, us, our, the Company, and ORGO willrefer to Organogenesis Holdings Inc. and its subsidiaries. All references herein to the Board refer to the board of directors of ORGO. </w:t>
      </w:r>
    </w:p>
    <w:p>
      <w:pPr>
        <w:jc w:val="start"/>
        <w:spacing w:before="0" w:after="0"/>
      </w:pPr>
      <w:r>
        <w:rPr>
          <w:sz w:val="36"/>
          <w:szCs w:val="36"/>
        </w:rPr>
        <w:t xml:space="preserve"> </w:t>
      </w:r>
    </w:p>
    <w:tbl>
      <w:tblGrid>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50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Events. </w:t>
            </w:r>
          </w:p>
        </w:tc>
      </w:tr>
    </w:tbl>
    <w:p>
      <w:pPr>
        <w:jc w:val="start"/>
        <w:ind w:left="0" w:right="0" w:firstLine="0" w:hanging="0"/>
        <w:spacing w:before="120" w:after="0"/>
      </w:pPr>
      <w:r>
        <w:rPr>
          <w:rFonts w:ascii="Times New Roman" w:hAnsi="Times New Roman" w:eastAsia="Times New Roman" w:cs="Times New Roman"/>
          <w:sz w:val="20"/>
          <w:szCs w:val="20"/>
        </w:rPr>
        <w:t xml:space="preserve">In accordance with Rule </w:t>
      </w:r>
      <w:r>
        <w:rPr>
          <w:rFonts w:ascii="Times New Roman" w:hAnsi="Times New Roman" w:eastAsia="Times New Roman" w:cs="Times New Roman"/>
          <w:sz w:val="20"/>
          <w:szCs w:val="20"/>
        </w:rPr>
        <w:t xml:space="preserve">12g-3(a)</w:t>
      </w:r>
      <w:r>
        <w:rPr>
          <w:rFonts w:ascii="Times New Roman" w:hAnsi="Times New Roman" w:eastAsia="Times New Roman" w:cs="Times New Roman"/>
          <w:sz w:val="20"/>
          <w:szCs w:val="20"/>
        </w:rPr>
        <w:t xml:space="preserve"> under the Securities Exchange Act of 1934 (the ExchangeAct), the shares of Class A common stock, par value $0.0001 per share (the Class A common stock), and the warrants to purchase shares of Class A common stock of the Company (public warrants), as thesuccessor to AHPAC, are deemed to be registered under Section 12(b) of the Exchange Act. Upon the effectiveness of the Domestication, the CUSIP numbers relating to the Companys Class A common stock and public warrants changed to68621F 102 and 68621F 110, respectively. The Company has applied to continue the listing of its Class A common stock on NASDAQ under the symbol ORGO. </w:t>
      </w:r>
    </w:p>
    <w:p>
      <w:pPr>
        <w:jc w:val="start"/>
        <w:ind w:left="0" w:right="0" w:firstLine="0" w:hanging="0"/>
        <w:spacing w:before="240" w:after="0"/>
      </w:pPr>
      <w:r>
        <w:rPr>
          <w:rFonts w:ascii="Times New Roman" w:hAnsi="Times New Roman" w:eastAsia="Times New Roman" w:cs="Times New Roman"/>
          <w:sz w:val="20"/>
          <w:szCs w:val="20"/>
        </w:rPr>
        <w:t xml:space="preserve">As described in Item 2.01 of the Companys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filed on December 11,2018, in connection with the Domestication, AHPACs outstanding Class A ordinary shares were automatically converted by operation of law, on a </w:t>
      </w:r>
      <w:r>
        <w:rPr>
          <w:rFonts w:ascii="Times New Roman" w:hAnsi="Times New Roman" w:eastAsia="Times New Roman" w:cs="Times New Roman"/>
          <w:sz w:val="20"/>
          <w:szCs w:val="20"/>
        </w:rPr>
        <w:t xml:space="preserve">one-for-one</w:t>
      </w:r>
      <w:r>
        <w:rPr>
          <w:rFonts w:ascii="Times New Roman" w:hAnsi="Times New Roman" w:eastAsia="Times New Roman" w:cs="Times New Roman"/>
          <w:sz w:val="20"/>
          <w:szCs w:val="20"/>
        </w:rPr>
        <w:t xml:space="preserve">basis, into shares of the Companys Class A common stock. Consequently, each holder of an AHPAC ordinary share held a share of the Companys Class A Common Stock immediately after the Domestication representing the sameproportional equity interest in the Company as that shareholder held in AHPAC immediately prior to the domestication. Similarly, AHPACs outstanding warrants converted by operation of law into the same number of warrants to purchase shares ofthe Companys Class A common stock on the same terms as were contained in such warrants prior to the Domestication. </w:t>
      </w:r>
    </w:p>
    <w:p>
      <w:pPr>
        <w:jc w:val="start"/>
        <w:ind w:left="0" w:right="0" w:firstLine="0" w:hanging="0"/>
        <w:spacing w:before="240" w:after="0"/>
      </w:pPr>
      <w:r>
        <w:rPr>
          <w:rFonts w:ascii="Times New Roman" w:hAnsi="Times New Roman" w:eastAsia="Times New Roman" w:cs="Times New Roman"/>
          <w:sz w:val="20"/>
          <w:szCs w:val="20"/>
        </w:rPr>
        <w:t xml:space="preserve">Holders ofuncertificated shares of AHPAC immediately prior to the domestication have continued as holders of shares of uncertificated stock of the Company. </w:t>
      </w:r>
    </w:p>
    <w:p>
      <w:pPr>
        <w:jc w:val="start"/>
        <w:ind w:left="0" w:right="0" w:firstLine="0" w:hanging="0"/>
        <w:spacing w:before="240" w:after="0"/>
      </w:pPr>
      <w:r>
        <w:rPr>
          <w:rFonts w:ascii="Times New Roman" w:hAnsi="Times New Roman" w:eastAsia="Times New Roman" w:cs="Times New Roman"/>
          <w:sz w:val="20"/>
          <w:szCs w:val="20"/>
        </w:rPr>
        <w:t xml:space="preserve">Holders of AHPACs shares who have filed reports under the Exchange Act with respect to those shares should indicate in their nextfiling, or any amendment to a prior filing, filed on or after the Closing Date that AHAPC has changed its name to Organogenesis Holdings Inc. and that Organogenesis Holdings Inc. is the successor to AHPAC. </w:t>
      </w:r>
    </w:p>
    <w:p>
      <w:pPr>
        <w:jc w:val="start"/>
        <w:ind w:left="0" w:right="0" w:firstLine="0" w:hanging="0"/>
        <w:spacing w:before="240" w:after="0"/>
      </w:pPr>
      <w:r>
        <w:rPr>
          <w:rFonts w:ascii="Times New Roman" w:hAnsi="Times New Roman" w:eastAsia="Times New Roman" w:cs="Times New Roman"/>
          <w:sz w:val="20"/>
          <w:szCs w:val="20"/>
        </w:rPr>
        <w:t xml:space="preserve">The information in the section titled </w:t>
      </w:r>
      <w:r>
        <w:rPr>
          <w:rFonts w:ascii="Times New Roman" w:hAnsi="Times New Roman" w:eastAsia="Times New Roman" w:cs="Times New Roman"/>
          <w:sz w:val="20"/>
          <w:szCs w:val="20"/>
          <w:i w:val="1"/>
          <w:iCs w:val="1"/>
        </w:rPr>
        <w:t xml:space="preserve">Description of Securities</w:t>
      </w:r>
      <w:r>
        <w:rPr>
          <w:rFonts w:ascii="Times New Roman" w:hAnsi="Times New Roman" w:eastAsia="Times New Roman" w:cs="Times New Roman"/>
          <w:sz w:val="20"/>
          <w:szCs w:val="20"/>
        </w:rPr>
        <w:t xml:space="preserve"> beginning on page 246 of the Companys definitivejoint proxy statement/prospectus dated November 30, 2018 and filed pursuant to Rule 424(b)(3) (File </w:t>
      </w:r>
      <w:r>
        <w:rPr>
          <w:rFonts w:ascii="Times New Roman" w:hAnsi="Times New Roman" w:eastAsia="Times New Roman" w:cs="Times New Roman"/>
          <w:sz w:val="20"/>
          <w:szCs w:val="20"/>
        </w:rPr>
        <w:t xml:space="preserve">No. 333-227090)</w:t>
      </w:r>
      <w:r>
        <w:rPr>
          <w:rFonts w:ascii="Times New Roman" w:hAnsi="Times New Roman" w:eastAsia="Times New Roman" w:cs="Times New Roman"/>
          <w:sz w:val="20"/>
          <w:szCs w:val="20"/>
        </w:rPr>
        <w:t xml:space="preserve"> (the Proxy) is incorporated herein by reference. </w:t>
      </w:r>
    </w:p>
    <w:p>
      <w:pPr>
        <w:jc w:val="start"/>
        <w:spacing w:before="360" w:after="0"/>
      </w:pPr>
      <w:r>
        <w:rPr>
          <w:rFonts w:ascii="Times New Roman" w:hAnsi="Times New Roman" w:eastAsia="Times New Roman" w:cs="Times New Roman"/>
          <w:sz w:val="20"/>
          <w:szCs w:val="20"/>
          <w:b w:val="1"/>
          <w:bCs w:val="1"/>
          <w:i w:val="1"/>
          <w:iCs w:val="1"/>
        </w:rPr>
        <w:t xml:space="preserve">Cautionary Note Regarding Forward-Looking Statements </w:t>
      </w:r>
    </w:p>
    <w:p>
      <w:pPr>
        <w:jc w:val="start"/>
        <w:spacing w:before="120" w:after="0"/>
      </w:pPr>
      <w:r>
        <w:rPr>
          <w:rFonts w:ascii="Times New Roman" w:hAnsi="Times New Roman" w:eastAsia="Times New Roman" w:cs="Times New Roman"/>
          <w:sz w:val="20"/>
          <w:szCs w:val="20"/>
        </w:rPr>
        <w:t xml:space="preserve">The Company makes forward-looking statements in this report within the meaning of the Private Securities Litigation Reform Act of 1995. These forward-lookingstatements relate to expectations or forecasts for future events. Forward-looking statements may be identified by the use of words such as will, forecast, intend, seek, target,anticipate, believe, expect, estimate, plan, outlook, extend, and project and other similar expressions that predict or indicate future events or trendsor that are not statements of historical matters. Such forward looking statements include statements relating to the Companys request for continued listing and ability to maintain compliance with applicable Nasdaq</w:t>
      </w:r>
    </w:p>
    <w:p>
      <w:pPr/>
    </w:p>
    <w:p>
      <w:pPr>
        <w:jc w:val="start"/>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listing rules. Forward looking statements with respect to the continued existence and operations of the Company, strategies, prospects and other aspects of the businesses of the Company are basedon current expectations that are subject to known and unknown risks and uncertainties, which could cause actual results or outcomes to differ materially from expectations expressed or implied by such forward looking statements. These factorsinclude, but are not limited to: (1) the Companys ability to successfully appeal Nasdaqs determination to delist the securities and otherwise maintain compliance with applicable Nasdaq listing standards; (2) the risk that theproposed Business Combination disrupts current plans and operations of Organogenesis as a result of the announcement and consummation of the transactions described herein; (3) the ability to recognize the anticipated benefits of the BusinessCombination, which may be affected by, among other things, competition, the ability of the combined company to grow and manage growth profitably, maintain relationships with customers and suppliers and retain its management and key employees;(4) changes in applicable laws or regulations; (5) the possibility that The Company may be adversely affected by other economic, business, and/or competitive factors; and (6) other risks and uncertainties described in other documentsfiled or to be filed with the Securities and Exchange Commission (SEC) by the Company. Although they may voluntarily do so from time to time, the Company undertakes no commitment to update or revise the forward-looking statements,whether as a result of new information, future events or otherwise, except as required by applicable securities laws. </w:t>
      </w:r>
    </w:p>
    <w:p>
      <w:pPr/>
    </w:p>
    <w:p>
      <w:pPr>
        <w:jc w:val="start"/>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theundersigned hereunto duly authorized. </w:t>
      </w:r>
    </w:p>
    <w:p>
      <w:pPr>
        <w:jc w:val="start"/>
        <w:spacing w:before="0" w:after="0"/>
      </w:pPr>
      <w:r>
        <w:rPr>
          <w:sz w:val="24"/>
          <w:szCs w:val="24"/>
        </w:rPr>
        <w:t xml:space="preserve"> </w:t>
      </w:r>
    </w:p>
    <w:tbl>
      <w:tblGrid>
        <w:gridCol w:w="800" w:type="dxa"/>
        <w:gridCol w:w="100" w:type="dxa"/>
        <w:gridCol w:w="410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800" w:type="pct"/>
            <w:noWrap/>
          </w:tcPr>
          <w:p>
            <w:pPr/>
          </w:p>
        </w:tc>
        <w:tc>
          <w:tcPr>
            <w:tcW w:w="100" w:type="pct"/>
            <w:vAlign w:val="bottom"/>
            <w:noWrap/>
          </w:tcPr>
          <w:p>
            <w:pPr/>
          </w:p>
        </w:tc>
        <w:tc>
          <w:tcPr>
            <w:tcW w:w="410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jc w:val="end"/>
              <w:spacing w:before="0" w:after="20"/>
            </w:pPr>
            <w:r>
              <w:rPr>
                <w:rFonts w:ascii="Times New Roman" w:hAnsi="Times New Roman" w:eastAsia="Times New Roman" w:cs="Times New Roman"/>
                <w:sz w:val="20"/>
                <w:szCs w:val="20"/>
              </w:rPr>
              <w:t xml:space="preserve">/s/ Timothy M. Cunningham</w:t>
            </w:r>
          </w:p>
        </w:tc>
      </w:tr>
      <w:tr>
        <w:trPr/>
        <w:tc>
          <w:tcPr>
            <w:tcW w:w="2000" w:type="pct"/>
            <w:vAlign w:val="top"/>
            <w:noWrap/>
          </w:tcPr>
          <w:p>
            <w:pPr/>
            <w:r>
              <w:rPr>
                <w:rFonts w:ascii="Times New Roman" w:hAnsi="Times New Roman" w:eastAsia="Times New Roman" w:cs="Times New Roman"/>
                <w:sz w:val="20"/>
                <w:szCs w:val="20"/>
              </w:rPr>
              <w:t xml:space="preserve">Name:    </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Timothy M. Cunningham</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Financial Officer</w:t>
            </w:r>
          </w:p>
        </w:tc>
      </w:tr>
    </w:tbl>
    <w:p>
      <w:pPr>
        <w:jc w:val="start"/>
        <w:spacing w:before="240" w:after="0"/>
      </w:pPr>
      <w:r>
        <w:rPr>
          <w:rFonts w:ascii="Times New Roman" w:hAnsi="Times New Roman" w:eastAsia="Times New Roman" w:cs="Times New Roman"/>
          <w:sz w:val="20"/>
          <w:szCs w:val="20"/>
        </w:rPr>
        <w:t xml:space="preserve">Date: December 14, 2018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2026-08-08T03:40:10-04:00</dcterms:created>
  <dcterms:modified xsi:type="dcterms:W3CDTF">2026-08-08T03:40:10-04:00</dcterms:modified>
</cp:coreProperties>
</file>

<file path=docProps/custom.xml><?xml version="1.0" encoding="utf-8"?>
<Properties xmlns="http://schemas.openxmlformats.org/officeDocument/2006/custom-properties" xmlns:vt="http://schemas.openxmlformats.org/officeDocument/2006/docPropsVTypes"/>
</file>